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14bis</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2504249</w:t>
      </w:r>
    </w:p>
    <w:p>
      <w:pPr>
        <w:tabs>
          <w:tab w:val="left" w:pos="420"/>
          <w:tab w:val="left" w:pos="840"/>
          <w:tab w:val="left" w:pos="1260"/>
          <w:tab w:val="left" w:pos="1680"/>
          <w:tab w:val="left" w:pos="2100"/>
          <w:tab w:val="left" w:pos="2520"/>
        </w:tabs>
        <w:jc w:val="both"/>
        <w:rPr>
          <w:rFonts w:hint="eastAsia" w:ascii="Arial" w:hAnsi="Arial" w:eastAsia="宋体" w:cs="Arial"/>
          <w:b/>
          <w:sz w:val="24"/>
          <w:szCs w:val="24"/>
          <w:lang w:val="en-US" w:eastAsia="zh-CN"/>
        </w:rPr>
      </w:pPr>
      <w:r>
        <w:rPr>
          <w:rFonts w:hint="eastAsia" w:eastAsia="宋体" w:cs="Arial"/>
          <w:b/>
          <w:sz w:val="24"/>
          <w:szCs w:val="24"/>
          <w:lang w:val="en-US" w:eastAsia="zh-CN"/>
        </w:rPr>
        <w:t>Wuhan, China, 7th – 11th April</w:t>
      </w:r>
      <w:r>
        <w:rPr>
          <w:rFonts w:hint="eastAsia" w:ascii="Arial" w:hAnsi="Arial" w:eastAsia="宋体" w:cs="Arial"/>
          <w:b/>
          <w:sz w:val="24"/>
          <w:szCs w:val="24"/>
          <w:lang w:val="en-US" w:eastAsia="zh-CN"/>
        </w:rPr>
        <w:t>, 202</w:t>
      </w:r>
      <w:r>
        <w:rPr>
          <w:rFonts w:hint="eastAsia" w:eastAsia="宋体" w:cs="Arial"/>
          <w:b/>
          <w:sz w:val="24"/>
          <w:szCs w:val="24"/>
          <w:lang w:val="en-US" w:eastAsia="zh-CN"/>
        </w:rPr>
        <w:t>5</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6"/>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6"/>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other RRM aspects of R19 NR MIMO Phase 5</w:t>
      </w:r>
    </w:p>
    <w:p>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7.22.3.2</w:t>
      </w:r>
    </w:p>
    <w:p>
      <w:pPr>
        <w:pStyle w:val="16"/>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10"/>
        <w:bidi w:val="0"/>
        <w:rPr>
          <w:rFonts w:hint="eastAsia" w:cs="Arial"/>
          <w:lang w:val="en-US" w:eastAsia="zh-CN"/>
        </w:rPr>
      </w:pPr>
      <w:r>
        <w:rPr>
          <w:rFonts w:hint="eastAsia" w:cs="Arial"/>
          <w:lang w:val="en-US" w:eastAsia="zh-CN"/>
        </w:rPr>
        <w:t>In last meeting, around other RRM aspects of NR MIMO Phase 5, the following agreements were achieved and summarized in [1], we list them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14" w:type="dxa"/>
          </w:tcPr>
          <w:p>
            <w:pPr>
              <w:pStyle w:val="2"/>
              <w:keepLines w:val="0"/>
              <w:pageBreakBefore w:val="0"/>
              <w:kinsoku/>
              <w:wordWrap/>
              <w:overflowPunct/>
              <w:topLinePunct w:val="0"/>
              <w:autoSpaceDE/>
              <w:autoSpaceDN/>
              <w:bidi w:val="0"/>
              <w:adjustRightInd/>
              <w:spacing w:before="0" w:after="0" w:line="240" w:lineRule="auto"/>
              <w:textAlignment w:val="auto"/>
              <w:rPr>
                <w:sz w:val="21"/>
                <w:szCs w:val="21"/>
              </w:rPr>
            </w:pPr>
            <w:r>
              <w:rPr>
                <w:sz w:val="21"/>
                <w:szCs w:val="21"/>
              </w:rPr>
              <w:t>&lt;Topic 1: UE reporting enhancement for CJT calibration&gt;</w:t>
            </w:r>
          </w:p>
          <w:p>
            <w:pPr>
              <w:keepLines w:val="0"/>
              <w:pageBreakBefore w:val="0"/>
              <w:kinsoku/>
              <w:wordWrap/>
              <w:overflowPunct/>
              <w:topLinePunct w:val="0"/>
              <w:autoSpaceDE/>
              <w:autoSpaceDN/>
              <w:bidi w:val="0"/>
              <w:adjustRightInd/>
              <w:spacing w:line="240" w:lineRule="auto"/>
              <w:textAlignment w:val="auto"/>
              <w:rPr>
                <w:b/>
                <w:u w:val="single"/>
                <w:lang w:eastAsia="ko-KR"/>
              </w:rPr>
            </w:pPr>
            <w:r>
              <w:rPr>
                <w:b/>
                <w:u w:val="single"/>
                <w:lang w:eastAsia="ko-KR"/>
              </w:rPr>
              <w:t>Issue 1-1: How to decide on the number of samples used for CJT calibration?</w:t>
            </w:r>
          </w:p>
          <w:p>
            <w:pPr>
              <w:keepLines w:val="0"/>
              <w:pageBreakBefore w:val="0"/>
              <w:kinsoku/>
              <w:wordWrap/>
              <w:overflowPunct/>
              <w:topLinePunct w:val="0"/>
              <w:autoSpaceDE/>
              <w:autoSpaceDN/>
              <w:bidi w:val="0"/>
              <w:adjustRightInd/>
              <w:spacing w:line="240" w:lineRule="auto"/>
              <w:textAlignment w:val="auto"/>
              <w:rPr>
                <w:lang w:eastAsia="ko-KR"/>
              </w:rPr>
            </w:pPr>
            <w:r>
              <w:rPr>
                <w:highlight w:val="green"/>
                <w:lang w:eastAsia="ko-KR"/>
              </w:rPr>
              <w:t>Agreement</w:t>
            </w:r>
            <w:r>
              <w:rPr>
                <w:lang w:eastAsia="ko-KR"/>
              </w:rPr>
              <w:t>:</w:t>
            </w:r>
          </w:p>
          <w:p>
            <w:pPr>
              <w:pStyle w:val="30"/>
              <w:keepLines w:val="0"/>
              <w:pageBreakBefore w:val="0"/>
              <w:numPr>
                <w:ilvl w:val="0"/>
                <w:numId w:val="4"/>
              </w:numPr>
              <w:kinsoku/>
              <w:wordWrap/>
              <w:overflowPunct/>
              <w:topLinePunct w:val="0"/>
              <w:autoSpaceDE/>
              <w:autoSpaceDN/>
              <w:bidi w:val="0"/>
              <w:adjustRightInd/>
              <w:spacing w:line="240" w:lineRule="auto"/>
              <w:ind w:firstLineChars="0"/>
              <w:textAlignment w:val="auto"/>
              <w:rPr>
                <w:lang w:eastAsia="ko-KR"/>
              </w:rPr>
            </w:pPr>
            <w:r>
              <w:rPr>
                <w:rFonts w:hint="eastAsia"/>
                <w:lang w:eastAsia="ko-KR"/>
              </w:rPr>
              <w:t xml:space="preserve">RAN4 to decide on the number of samples based on </w:t>
            </w:r>
            <w:r>
              <w:rPr>
                <w:lang w:eastAsia="ko-KR"/>
              </w:rPr>
              <w:t>its</w:t>
            </w:r>
            <w:r>
              <w:rPr>
                <w:rFonts w:hint="eastAsia"/>
                <w:lang w:eastAsia="ko-KR"/>
              </w:rPr>
              <w:t xml:space="preserve"> impact on </w:t>
            </w:r>
            <w:r>
              <w:rPr>
                <w:lang w:eastAsia="ko-KR"/>
              </w:rPr>
              <w:t xml:space="preserve">the </w:t>
            </w:r>
            <w:r>
              <w:rPr>
                <w:rFonts w:hint="eastAsia"/>
                <w:lang w:eastAsia="ko-KR"/>
              </w:rPr>
              <w:t>reported interval</w:t>
            </w:r>
            <w:r>
              <w:rPr>
                <w:lang w:eastAsia="ko-KR"/>
              </w:rPr>
              <w:t xml:space="preserve"> (granularity of the report)</w:t>
            </w:r>
            <w:r>
              <w:rPr>
                <w:rFonts w:hint="eastAsia"/>
                <w:lang w:eastAsia="ko-KR"/>
              </w:rPr>
              <w:t xml:space="preserve"> for the given report resolution</w:t>
            </w:r>
            <w:r>
              <w:rPr>
                <w:lang w:eastAsia="ko-KR"/>
              </w:rPr>
              <w:t>, while using the following parameters</w:t>
            </w:r>
          </w:p>
          <w:p>
            <w:pPr>
              <w:pStyle w:val="30"/>
              <w:keepLines w:val="0"/>
              <w:pageBreakBefore w:val="0"/>
              <w:numPr>
                <w:ilvl w:val="1"/>
                <w:numId w:val="4"/>
              </w:numPr>
              <w:kinsoku/>
              <w:wordWrap/>
              <w:overflowPunct/>
              <w:topLinePunct w:val="0"/>
              <w:autoSpaceDE/>
              <w:autoSpaceDN/>
              <w:bidi w:val="0"/>
              <w:adjustRightInd/>
              <w:spacing w:line="240" w:lineRule="auto"/>
              <w:ind w:firstLineChars="0"/>
              <w:textAlignment w:val="auto"/>
              <w:rPr>
                <w:lang w:eastAsia="ko-KR"/>
              </w:rPr>
            </w:pPr>
            <w:r>
              <w:rPr>
                <w:lang w:eastAsia="ko-KR"/>
              </w:rPr>
              <w:t>Report resolution (M</w:t>
            </w:r>
            <w:r>
              <w:rPr>
                <w:vertAlign w:val="subscript"/>
                <w:lang w:eastAsia="ko-KR"/>
              </w:rPr>
              <w:t>D</w:t>
            </w:r>
            <w:r>
              <w:rPr>
                <w:lang w:eastAsia="ko-KR"/>
              </w:rPr>
              <w:t xml:space="preserve"> = 128, M</w:t>
            </w:r>
            <w:r>
              <w:rPr>
                <w:vertAlign w:val="subscript"/>
                <w:lang w:eastAsia="ko-KR"/>
              </w:rPr>
              <w:t xml:space="preserve">FO </w:t>
            </w:r>
            <w:r>
              <w:rPr>
                <w:lang w:eastAsia="ko-KR"/>
              </w:rPr>
              <w:t>= 128).</w:t>
            </w:r>
          </w:p>
          <w:p>
            <w:pPr>
              <w:pStyle w:val="30"/>
              <w:keepLines w:val="0"/>
              <w:pageBreakBefore w:val="0"/>
              <w:numPr>
                <w:ilvl w:val="1"/>
                <w:numId w:val="4"/>
              </w:numPr>
              <w:kinsoku/>
              <w:wordWrap/>
              <w:overflowPunct/>
              <w:topLinePunct w:val="0"/>
              <w:autoSpaceDE/>
              <w:autoSpaceDN/>
              <w:bidi w:val="0"/>
              <w:adjustRightInd/>
              <w:spacing w:line="240" w:lineRule="auto"/>
              <w:ind w:firstLineChars="0"/>
              <w:textAlignment w:val="auto"/>
              <w:rPr>
                <w:lang w:eastAsia="ko-KR"/>
              </w:rPr>
            </w:pPr>
            <w:r>
              <w:rPr>
                <w:lang w:eastAsia="ko-KR"/>
              </w:rPr>
              <w:t>Offset range (A</w:t>
            </w:r>
            <w:r>
              <w:rPr>
                <w:vertAlign w:val="subscript"/>
                <w:lang w:eastAsia="ko-KR"/>
              </w:rPr>
              <w:t>D</w:t>
            </w:r>
            <w:r>
              <w:rPr>
                <w:lang w:eastAsia="ko-KR"/>
              </w:rPr>
              <w:t xml:space="preserve"> and A</w:t>
            </w:r>
            <w:r>
              <w:rPr>
                <w:vertAlign w:val="subscript"/>
                <w:lang w:eastAsia="ko-KR"/>
              </w:rPr>
              <w:t>FO</w:t>
            </w:r>
            <w:r>
              <w:rPr>
                <w:lang w:eastAsia="ko-KR"/>
              </w:rPr>
              <w:t xml:space="preserve">) </w:t>
            </w:r>
          </w:p>
          <w:p>
            <w:pPr>
              <w:pStyle w:val="30"/>
              <w:keepLines w:val="0"/>
              <w:pageBreakBefore w:val="0"/>
              <w:numPr>
                <w:ilvl w:val="2"/>
                <w:numId w:val="4"/>
              </w:numPr>
              <w:kinsoku/>
              <w:wordWrap/>
              <w:overflowPunct/>
              <w:topLinePunct w:val="0"/>
              <w:autoSpaceDE/>
              <w:autoSpaceDN/>
              <w:bidi w:val="0"/>
              <w:adjustRightInd/>
              <w:spacing w:line="240" w:lineRule="auto"/>
              <w:ind w:firstLineChars="0"/>
              <w:textAlignment w:val="auto"/>
              <w:rPr>
                <w:lang w:eastAsia="ko-KR"/>
              </w:rPr>
            </w:pPr>
            <w:r>
              <w:rPr>
                <w:lang w:eastAsia="ko-KR"/>
              </w:rPr>
              <w:t>A</w:t>
            </w:r>
            <w:r>
              <w:rPr>
                <w:vertAlign w:val="subscript"/>
                <w:lang w:eastAsia="ko-KR"/>
              </w:rPr>
              <w:t xml:space="preserve">D </w:t>
            </w:r>
            <w:r>
              <w:rPr>
                <w:lang w:eastAsia="ko-KR"/>
              </w:rPr>
              <w:t>= CP</w:t>
            </w:r>
          </w:p>
          <w:p>
            <w:pPr>
              <w:pStyle w:val="30"/>
              <w:keepLines w:val="0"/>
              <w:pageBreakBefore w:val="0"/>
              <w:numPr>
                <w:ilvl w:val="2"/>
                <w:numId w:val="4"/>
              </w:numPr>
              <w:kinsoku/>
              <w:wordWrap/>
              <w:overflowPunct/>
              <w:topLinePunct w:val="0"/>
              <w:autoSpaceDE/>
              <w:autoSpaceDN/>
              <w:bidi w:val="0"/>
              <w:adjustRightInd/>
              <w:spacing w:line="240" w:lineRule="auto"/>
              <w:ind w:firstLineChars="0"/>
              <w:textAlignment w:val="auto"/>
              <w:rPr>
                <w:lang w:eastAsia="ko-KR"/>
              </w:rPr>
            </w:pPr>
            <w:r>
              <w:rPr>
                <w:lang w:eastAsia="ko-KR"/>
              </w:rPr>
              <w:t>A</w:t>
            </w:r>
            <w:r>
              <w:rPr>
                <w:vertAlign w:val="subscript"/>
                <w:lang w:eastAsia="ko-KR"/>
              </w:rPr>
              <w:t xml:space="preserve">FO </w:t>
            </w:r>
            <w:r>
              <w:rPr>
                <w:lang w:eastAsia="ko-KR"/>
              </w:rPr>
              <w:t>= 0.2 ppm</w:t>
            </w:r>
          </w:p>
          <w:p>
            <w:pPr>
              <w:pStyle w:val="30"/>
              <w:keepLines w:val="0"/>
              <w:pageBreakBefore w:val="0"/>
              <w:numPr>
                <w:ilvl w:val="1"/>
                <w:numId w:val="4"/>
              </w:numPr>
              <w:kinsoku/>
              <w:wordWrap/>
              <w:overflowPunct/>
              <w:topLinePunct w:val="0"/>
              <w:autoSpaceDE/>
              <w:autoSpaceDN/>
              <w:bidi w:val="0"/>
              <w:adjustRightInd/>
              <w:spacing w:line="240" w:lineRule="auto"/>
              <w:ind w:firstLineChars="0"/>
              <w:textAlignment w:val="auto"/>
              <w:rPr>
                <w:lang w:eastAsia="ko-KR"/>
              </w:rPr>
            </w:pPr>
            <w:r>
              <w:rPr>
                <w:lang w:eastAsia="ko-KR"/>
              </w:rPr>
              <w:t>Time offset between the two TRPs: 0.5 CP</w:t>
            </w:r>
          </w:p>
          <w:p>
            <w:pPr>
              <w:pStyle w:val="30"/>
              <w:keepLines w:val="0"/>
              <w:pageBreakBefore w:val="0"/>
              <w:numPr>
                <w:ilvl w:val="1"/>
                <w:numId w:val="4"/>
              </w:numPr>
              <w:kinsoku/>
              <w:wordWrap/>
              <w:overflowPunct/>
              <w:topLinePunct w:val="0"/>
              <w:autoSpaceDE/>
              <w:autoSpaceDN/>
              <w:bidi w:val="0"/>
              <w:adjustRightInd/>
              <w:spacing w:line="240" w:lineRule="auto"/>
              <w:ind w:firstLineChars="0"/>
              <w:textAlignment w:val="auto"/>
              <w:rPr>
                <w:lang w:eastAsia="ko-KR"/>
              </w:rPr>
            </w:pPr>
            <w:r>
              <w:rPr>
                <w:lang w:eastAsia="ko-KR"/>
              </w:rPr>
              <w:t>Frequency offset between the two TRPs: 0.1 ppm</w:t>
            </w:r>
          </w:p>
          <w:p>
            <w:pPr>
              <w:pStyle w:val="30"/>
              <w:keepLines w:val="0"/>
              <w:pageBreakBefore w:val="0"/>
              <w:numPr>
                <w:ilvl w:val="1"/>
                <w:numId w:val="4"/>
              </w:numPr>
              <w:kinsoku/>
              <w:wordWrap/>
              <w:overflowPunct/>
              <w:topLinePunct w:val="0"/>
              <w:autoSpaceDE/>
              <w:autoSpaceDN/>
              <w:bidi w:val="0"/>
              <w:adjustRightInd/>
              <w:spacing w:line="240" w:lineRule="auto"/>
              <w:ind w:firstLineChars="0"/>
              <w:textAlignment w:val="auto"/>
              <w:rPr>
                <w:lang w:eastAsia="ko-KR"/>
              </w:rPr>
            </w:pPr>
            <w:r>
              <w:rPr>
                <w:lang w:eastAsia="ko-KR"/>
              </w:rPr>
              <w:t>Note that report resolution and offset range are network configuration via RRC signalling.</w:t>
            </w:r>
          </w:p>
          <w:p>
            <w:pPr>
              <w:pStyle w:val="30"/>
              <w:keepLines w:val="0"/>
              <w:pageBreakBefore w:val="0"/>
              <w:numPr>
                <w:ilvl w:val="0"/>
                <w:numId w:val="4"/>
              </w:numPr>
              <w:kinsoku/>
              <w:wordWrap/>
              <w:overflowPunct/>
              <w:topLinePunct w:val="0"/>
              <w:autoSpaceDE/>
              <w:autoSpaceDN/>
              <w:bidi w:val="0"/>
              <w:adjustRightInd/>
              <w:spacing w:line="240" w:lineRule="auto"/>
              <w:ind w:firstLineChars="0"/>
              <w:textAlignment w:val="auto"/>
              <w:rPr>
                <w:lang w:eastAsia="ko-KR"/>
              </w:rPr>
            </w:pPr>
            <w:r>
              <w:rPr>
                <w:lang w:eastAsia="ko-KR"/>
              </w:rPr>
              <w:t>Simulation results can be provided based on the CDF accuracy at 5%, 50% and 95%.</w:t>
            </w:r>
          </w:p>
          <w:p>
            <w:pPr>
              <w:pStyle w:val="30"/>
              <w:keepLines w:val="0"/>
              <w:pageBreakBefore w:val="0"/>
              <w:numPr>
                <w:ilvl w:val="0"/>
                <w:numId w:val="0"/>
              </w:numPr>
              <w:kinsoku/>
              <w:wordWrap/>
              <w:overflowPunct/>
              <w:topLinePunct w:val="0"/>
              <w:autoSpaceDE/>
              <w:autoSpaceDN/>
              <w:bidi w:val="0"/>
              <w:adjustRightInd/>
              <w:spacing w:line="240" w:lineRule="auto"/>
              <w:textAlignment w:val="auto"/>
              <w:rPr>
                <w:lang w:eastAsia="ko-KR"/>
              </w:rPr>
            </w:pPr>
          </w:p>
          <w:p>
            <w:pPr>
              <w:pStyle w:val="2"/>
              <w:keepLines w:val="0"/>
              <w:pageBreakBefore w:val="0"/>
              <w:kinsoku/>
              <w:wordWrap/>
              <w:overflowPunct/>
              <w:topLinePunct w:val="0"/>
              <w:autoSpaceDE/>
              <w:autoSpaceDN/>
              <w:bidi w:val="0"/>
              <w:adjustRightInd/>
              <w:spacing w:before="0" w:after="0" w:line="240" w:lineRule="auto"/>
              <w:textAlignment w:val="auto"/>
              <w:rPr>
                <w:sz w:val="21"/>
                <w:szCs w:val="21"/>
              </w:rPr>
            </w:pPr>
            <w:r>
              <w:rPr>
                <w:sz w:val="21"/>
                <w:szCs w:val="21"/>
              </w:rPr>
              <w:t>&lt;Topic 2: Enhancement for asymmetric DL sTRP/UL mTRP scenarios&gt;</w:t>
            </w:r>
          </w:p>
          <w:p>
            <w:pPr>
              <w:keepLines w:val="0"/>
              <w:pageBreakBefore w:val="0"/>
              <w:kinsoku/>
              <w:wordWrap/>
              <w:overflowPunct/>
              <w:topLinePunct w:val="0"/>
              <w:autoSpaceDE/>
              <w:autoSpaceDN/>
              <w:bidi w:val="0"/>
              <w:adjustRightInd/>
              <w:spacing w:line="240" w:lineRule="auto"/>
              <w:textAlignment w:val="auto"/>
              <w:rPr>
                <w:b/>
                <w:u w:val="single"/>
                <w:lang w:eastAsia="ko-KR"/>
              </w:rPr>
            </w:pPr>
            <w:r>
              <w:rPr>
                <w:b/>
                <w:u w:val="single"/>
                <w:lang w:eastAsia="ko-KR"/>
              </w:rPr>
              <w:t>Issue 2-1: Whether RAN4 need to consider the scenario when UE is/isn’t configured with pathloss offset?</w:t>
            </w:r>
          </w:p>
          <w:p>
            <w:pPr>
              <w:keepLines w:val="0"/>
              <w:pageBreakBefore w:val="0"/>
              <w:kinsoku/>
              <w:wordWrap/>
              <w:overflowPunct/>
              <w:topLinePunct w:val="0"/>
              <w:autoSpaceDE/>
              <w:autoSpaceDN/>
              <w:bidi w:val="0"/>
              <w:adjustRightInd/>
              <w:snapToGrid w:val="0"/>
              <w:spacing w:line="240" w:lineRule="auto"/>
              <w:textAlignment w:val="auto"/>
              <w:rPr>
                <w:rFonts w:eastAsiaTheme="minorEastAsia"/>
                <w:bCs/>
                <w:lang w:eastAsia="zh-CN"/>
              </w:rPr>
            </w:pPr>
            <w:r>
              <w:rPr>
                <w:rFonts w:eastAsiaTheme="minorEastAsia"/>
                <w:bCs/>
                <w:highlight w:val="green"/>
                <w:lang w:eastAsia="zh-CN"/>
              </w:rPr>
              <w:t>Agreement</w:t>
            </w:r>
            <w:r>
              <w:rPr>
                <w:rFonts w:eastAsiaTheme="minorEastAsia"/>
                <w:bCs/>
                <w:lang w:eastAsia="zh-CN"/>
              </w:rPr>
              <w:t>:</w:t>
            </w:r>
          </w:p>
          <w:p>
            <w:pPr>
              <w:keepLines w:val="0"/>
              <w:pageBreakBefore w:val="0"/>
              <w:kinsoku/>
              <w:wordWrap/>
              <w:overflowPunct/>
              <w:topLinePunct w:val="0"/>
              <w:autoSpaceDE/>
              <w:autoSpaceDN/>
              <w:bidi w:val="0"/>
              <w:adjustRightInd/>
              <w:snapToGrid w:val="0"/>
              <w:spacing w:line="240" w:lineRule="auto"/>
              <w:ind w:left="420"/>
              <w:textAlignment w:val="auto"/>
              <w:rPr>
                <w:rFonts w:eastAsia="宋体"/>
                <w:szCs w:val="24"/>
                <w:lang w:eastAsia="zh-CN"/>
              </w:rPr>
            </w:pPr>
            <w:r>
              <w:rPr>
                <w:rFonts w:eastAsiaTheme="minorEastAsia"/>
                <w:bCs/>
                <w:lang w:eastAsia="zh-CN"/>
              </w:rPr>
              <w:t xml:space="preserve">For </w:t>
            </w:r>
            <w:r>
              <w:rPr>
                <w:szCs w:val="24"/>
                <w:lang w:eastAsia="zh-CN"/>
              </w:rPr>
              <w:t xml:space="preserve">Scenario#1: RAN4 define the timing requirements for FR1, FFS on FR2. </w:t>
            </w:r>
          </w:p>
          <w:p>
            <w:pPr>
              <w:keepLines w:val="0"/>
              <w:pageBreakBefore w:val="0"/>
              <w:kinsoku/>
              <w:wordWrap/>
              <w:overflowPunct/>
              <w:topLinePunct w:val="0"/>
              <w:autoSpaceDE/>
              <w:autoSpaceDN/>
              <w:bidi w:val="0"/>
              <w:adjustRightInd/>
              <w:snapToGrid w:val="0"/>
              <w:spacing w:line="240" w:lineRule="auto"/>
              <w:ind w:left="420"/>
              <w:textAlignment w:val="auto"/>
              <w:rPr>
                <w:szCs w:val="24"/>
                <w:lang w:eastAsia="zh-CN"/>
              </w:rPr>
            </w:pPr>
            <w:r>
              <w:rPr>
                <w:szCs w:val="24"/>
                <w:lang w:eastAsia="zh-CN"/>
              </w:rPr>
              <w:t xml:space="preserve">For Scenario#2, FFS on whether to reuse the legacy timing requirements (Rel-18 m-DCI two TA with updated or not).  </w:t>
            </w:r>
          </w:p>
          <w:p>
            <w:pPr>
              <w:keepLines w:val="0"/>
              <w:pageBreakBefore w:val="0"/>
              <w:kinsoku/>
              <w:wordWrap/>
              <w:overflowPunct/>
              <w:topLinePunct w:val="0"/>
              <w:autoSpaceDE/>
              <w:autoSpaceDN/>
              <w:bidi w:val="0"/>
              <w:adjustRightInd/>
              <w:snapToGrid w:val="0"/>
              <w:spacing w:line="240" w:lineRule="auto"/>
              <w:ind w:left="420"/>
              <w:textAlignment w:val="auto"/>
              <w:rPr>
                <w:szCs w:val="24"/>
                <w:lang w:eastAsia="zh-CN"/>
              </w:rPr>
            </w:pPr>
            <w:r>
              <w:rPr>
                <w:szCs w:val="24"/>
                <w:lang w:eastAsia="zh-CN"/>
              </w:rPr>
              <w:t>RAN4 common understanding: the RAN1 agreements in RAN1#118bis “</w:t>
            </w:r>
            <w:r>
              <w:rPr>
                <w:lang w:val="en-CA"/>
              </w:rPr>
              <w:t>One downlink reference timing is supported and applied to both TAGs.</w:t>
            </w:r>
            <w:r>
              <w:rPr>
                <w:szCs w:val="24"/>
                <w:lang w:eastAsia="zh-CN"/>
              </w:rPr>
              <w:t xml:space="preserve">” are </w:t>
            </w:r>
            <w:r>
              <w:rPr>
                <w:szCs w:val="24"/>
                <w:u w:val="single"/>
                <w:lang w:eastAsia="zh-CN"/>
              </w:rPr>
              <w:t>currently</w:t>
            </w:r>
            <w:r>
              <w:rPr>
                <w:szCs w:val="24"/>
                <w:lang w:eastAsia="zh-CN"/>
              </w:rPr>
              <w:t xml:space="preserve"> only applied for Scenario #1.</w:t>
            </w:r>
          </w:p>
          <w:p>
            <w:pPr>
              <w:pStyle w:val="30"/>
              <w:keepLines w:val="0"/>
              <w:pageBreakBefore w:val="0"/>
              <w:numPr>
                <w:ilvl w:val="0"/>
                <w:numId w:val="5"/>
              </w:numPr>
              <w:kinsoku/>
              <w:wordWrap/>
              <w:overflowPunct/>
              <w:topLinePunct w:val="0"/>
              <w:autoSpaceDE/>
              <w:autoSpaceDN/>
              <w:bidi w:val="0"/>
              <w:adjustRightInd/>
              <w:snapToGrid w:val="0"/>
              <w:spacing w:line="240" w:lineRule="auto"/>
              <w:ind w:left="840" w:firstLineChars="0"/>
              <w:textAlignment w:val="auto"/>
              <w:rPr>
                <w:szCs w:val="24"/>
                <w:lang w:eastAsia="zh-CN"/>
              </w:rPr>
            </w:pPr>
            <w:r>
              <w:t>Scenario#1: if UE is configured with PL offset in joint/UL TCI state(s), UE does not expect to receive SSB from UL TRP(s)</w:t>
            </w:r>
          </w:p>
          <w:p>
            <w:pPr>
              <w:pStyle w:val="30"/>
              <w:keepLines w:val="0"/>
              <w:pageBreakBefore w:val="0"/>
              <w:numPr>
                <w:ilvl w:val="0"/>
                <w:numId w:val="5"/>
              </w:numPr>
              <w:kinsoku/>
              <w:wordWrap/>
              <w:overflowPunct/>
              <w:topLinePunct w:val="0"/>
              <w:autoSpaceDE/>
              <w:autoSpaceDN/>
              <w:bidi w:val="0"/>
              <w:adjustRightInd/>
              <w:snapToGrid w:val="0"/>
              <w:spacing w:line="240" w:lineRule="auto"/>
              <w:ind w:left="840" w:firstLineChars="0"/>
              <w:textAlignment w:val="auto"/>
            </w:pPr>
            <w:r>
              <w:t>Scenario#2: if UE is not configured with PL offset in joint/UL TCI state(s), UE expect to receive SSB from UL TRP(s).</w:t>
            </w:r>
          </w:p>
          <w:p>
            <w:pPr>
              <w:keepLines w:val="0"/>
              <w:pageBreakBefore w:val="0"/>
              <w:kinsoku/>
              <w:wordWrap/>
              <w:overflowPunct/>
              <w:topLinePunct w:val="0"/>
              <w:autoSpaceDE/>
              <w:autoSpaceDN/>
              <w:bidi w:val="0"/>
              <w:adjustRightInd/>
              <w:snapToGrid w:val="0"/>
              <w:spacing w:line="240" w:lineRule="auto"/>
              <w:ind w:left="420"/>
              <w:textAlignment w:val="auto"/>
              <w:rPr>
                <w:rFonts w:eastAsia="DengXian"/>
                <w:u w:val="single"/>
                <w:lang w:eastAsia="zh-CN"/>
              </w:rPr>
            </w:pPr>
            <w:r>
              <w:rPr>
                <w:rFonts w:eastAsia="DengXian"/>
                <w:u w:val="single"/>
                <w:lang w:eastAsia="zh-CN"/>
              </w:rPr>
              <w:t>Note 1: the scenario 1 and 2 are based on RAN1 LS.</w:t>
            </w:r>
          </w:p>
          <w:p>
            <w:pPr>
              <w:keepLines w:val="0"/>
              <w:pageBreakBefore w:val="0"/>
              <w:kinsoku/>
              <w:wordWrap/>
              <w:overflowPunct/>
              <w:topLinePunct w:val="0"/>
              <w:autoSpaceDE/>
              <w:autoSpaceDN/>
              <w:bidi w:val="0"/>
              <w:adjustRightInd/>
              <w:snapToGrid w:val="0"/>
              <w:spacing w:line="240" w:lineRule="auto"/>
              <w:ind w:left="420"/>
              <w:textAlignment w:val="auto"/>
              <w:rPr>
                <w:rFonts w:eastAsia="DengXian"/>
                <w:u w:val="single"/>
                <w:lang w:eastAsia="zh-CN"/>
              </w:rPr>
            </w:pPr>
            <w:r>
              <w:rPr>
                <w:rFonts w:eastAsia="DengXian"/>
                <w:u w:val="single"/>
                <w:lang w:eastAsia="zh-CN"/>
              </w:rPr>
              <w:t>Note 2: The above agreements apply when 2TA are configured.</w:t>
            </w:r>
          </w:p>
          <w:p>
            <w:pPr>
              <w:keepLines w:val="0"/>
              <w:pageBreakBefore w:val="0"/>
              <w:kinsoku/>
              <w:wordWrap/>
              <w:overflowPunct/>
              <w:topLinePunct w:val="0"/>
              <w:autoSpaceDE/>
              <w:autoSpaceDN/>
              <w:bidi w:val="0"/>
              <w:adjustRightInd/>
              <w:spacing w:line="240" w:lineRule="auto"/>
              <w:textAlignment w:val="auto"/>
              <w:rPr>
                <w:b/>
                <w:u w:val="single"/>
                <w:lang w:eastAsia="ko-KR"/>
              </w:rPr>
            </w:pPr>
          </w:p>
          <w:p>
            <w:pPr>
              <w:keepLines w:val="0"/>
              <w:pageBreakBefore w:val="0"/>
              <w:kinsoku/>
              <w:wordWrap/>
              <w:overflowPunct/>
              <w:topLinePunct w:val="0"/>
              <w:autoSpaceDE/>
              <w:autoSpaceDN/>
              <w:bidi w:val="0"/>
              <w:adjustRightInd/>
              <w:spacing w:line="240" w:lineRule="auto"/>
              <w:textAlignment w:val="auto"/>
              <w:rPr>
                <w:b/>
                <w:u w:val="single"/>
                <w:lang w:eastAsia="ko-KR"/>
              </w:rPr>
            </w:pPr>
            <w:r>
              <w:rPr>
                <w:b/>
                <w:u w:val="single"/>
                <w:lang w:eastAsia="ko-KR"/>
              </w:rPr>
              <w:t>Issue 2-2: How to update the RRM requirements for 2TA enhancement for asymmetric DL sTRP/ UL mTRP?</w:t>
            </w:r>
          </w:p>
          <w:p>
            <w:pPr>
              <w:keepLines w:val="0"/>
              <w:pageBreakBefore w:val="0"/>
              <w:kinsoku/>
              <w:wordWrap/>
              <w:overflowPunct/>
              <w:topLinePunct w:val="0"/>
              <w:autoSpaceDE/>
              <w:autoSpaceDN/>
              <w:bidi w:val="0"/>
              <w:adjustRightInd/>
              <w:snapToGrid w:val="0"/>
              <w:spacing w:line="240" w:lineRule="auto"/>
              <w:textAlignment w:val="auto"/>
              <w:rPr>
                <w:rFonts w:eastAsia="DengXian"/>
                <w:lang w:val="en-US" w:eastAsia="zh-CN"/>
              </w:rPr>
            </w:pPr>
            <w:r>
              <w:rPr>
                <w:rFonts w:eastAsia="DengXian"/>
                <w:highlight w:val="green"/>
                <w:lang w:val="en-US" w:eastAsia="zh-CN"/>
              </w:rPr>
              <w:t>Agreement</w:t>
            </w:r>
            <w:r>
              <w:rPr>
                <w:rFonts w:eastAsia="DengXian"/>
                <w:lang w:val="en-US" w:eastAsia="zh-CN"/>
              </w:rPr>
              <w:t xml:space="preserve">: </w:t>
            </w:r>
          </w:p>
          <w:p>
            <w:pPr>
              <w:keepLines w:val="0"/>
              <w:pageBreakBefore w:val="0"/>
              <w:numPr>
                <w:ilvl w:val="0"/>
                <w:numId w:val="6"/>
              </w:numPr>
              <w:kinsoku/>
              <w:wordWrap/>
              <w:overflowPunct/>
              <w:topLinePunct w:val="0"/>
              <w:autoSpaceDE/>
              <w:autoSpaceDN/>
              <w:bidi w:val="0"/>
              <w:adjustRightInd/>
              <w:spacing w:line="240" w:lineRule="auto"/>
              <w:textAlignment w:val="auto"/>
              <w:rPr>
                <w:rFonts w:eastAsia="宋体"/>
                <w:lang w:eastAsia="zh-CN"/>
              </w:rPr>
            </w:pPr>
            <w:r>
              <w:rPr>
                <w:lang w:eastAsia="zh-CN"/>
              </w:rPr>
              <w:t xml:space="preserve">For scenario 1, </w:t>
            </w:r>
            <w:r>
              <w:rPr>
                <w:u w:val="single"/>
                <w:lang w:eastAsia="zh-CN"/>
              </w:rPr>
              <w:t>for both TAGs,</w:t>
            </w:r>
            <w:r>
              <w:rPr>
                <w:lang w:eastAsia="zh-CN"/>
              </w:rPr>
              <w:t xml:space="preserve"> the uplink transmission(s) timing for PUCCH/PUSCH/SRS take place (NTA + NTA offset) x Tc before the reception of the first detected path in time of one of the corresponding downlink reference signal(s) of the reference cell associated with DL or Joint TCI state.</w:t>
            </w:r>
          </w:p>
          <w:p>
            <w:pPr>
              <w:keepLines w:val="0"/>
              <w:pageBreakBefore w:val="0"/>
              <w:numPr>
                <w:ilvl w:val="1"/>
                <w:numId w:val="6"/>
              </w:numPr>
              <w:kinsoku/>
              <w:wordWrap/>
              <w:overflowPunct/>
              <w:topLinePunct w:val="0"/>
              <w:autoSpaceDE/>
              <w:autoSpaceDN/>
              <w:bidi w:val="0"/>
              <w:adjustRightInd/>
              <w:spacing w:line="240" w:lineRule="auto"/>
              <w:textAlignment w:val="auto"/>
              <w:rPr>
                <w:rFonts w:hint="default" w:cs="Arial"/>
                <w:vertAlign w:val="baseline"/>
                <w:lang w:val="en-US" w:eastAsia="zh-CN"/>
              </w:rPr>
            </w:pPr>
            <w:r>
              <w:rPr>
                <w:u w:val="single"/>
                <w:lang w:eastAsia="zh-CN"/>
              </w:rPr>
              <w:t>The above agreement can be revisited if not aligned with RAN1 further agreement.</w:t>
            </w:r>
          </w:p>
        </w:tc>
      </w:tr>
    </w:tbl>
    <w:p>
      <w:pPr>
        <w:pStyle w:val="10"/>
        <w:keepNext w:val="0"/>
        <w:keepLines w:val="0"/>
        <w:pageBreakBefore w:val="0"/>
        <w:widowControl/>
        <w:kinsoku/>
        <w:wordWrap/>
        <w:overflowPunct/>
        <w:topLinePunct w:val="0"/>
        <w:autoSpaceDE/>
        <w:autoSpaceDN/>
        <w:bidi w:val="0"/>
        <w:adjustRightInd/>
        <w:snapToGrid/>
        <w:spacing w:before="120"/>
        <w:textAlignment w:val="auto"/>
        <w:rPr>
          <w:rFonts w:hint="eastAsia" w:cs="Arial"/>
          <w:lang w:val="en-US" w:eastAsia="zh-CN"/>
        </w:rPr>
      </w:pPr>
      <w:r>
        <w:rPr>
          <w:rFonts w:hint="eastAsia" w:cs="Arial"/>
          <w:lang w:val="en-US" w:eastAsia="zh-CN"/>
        </w:rPr>
        <w:t xml:space="preserve">For CSI enhancement to support up to 128 ports, we can see RRM impact based on RAN1 latest progress. So in this paper, we provide our further analysis around the </w:t>
      </w:r>
      <w:r>
        <w:rPr>
          <w:rFonts w:hint="eastAsia" w:cs="Arial"/>
          <w:b w:val="0"/>
          <w:bCs w:val="0"/>
          <w:lang w:val="en-US" w:eastAsia="zh-CN"/>
        </w:rPr>
        <w:t>asymmetric DL sTRP/UL mTRP deployment scenarios</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bookmarkStart w:id="1" w:name="_GoBack"/>
      <w:bookmarkEnd w:id="1"/>
      <w:r>
        <w:rPr>
          <w:rFonts w:hint="eastAsia" w:eastAsia="宋体"/>
          <w:color w:val="auto"/>
          <w:lang w:eastAsia="zh-CN"/>
        </w:rPr>
        <w:t>Discussion</w:t>
      </w:r>
    </w:p>
    <w:p>
      <w:pPr>
        <w:pStyle w:val="10"/>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lang w:val="en-US" w:eastAsia="zh-CN"/>
        </w:rPr>
      </w:pPr>
      <w:r>
        <w:rPr>
          <w:rFonts w:hint="eastAsia"/>
          <w:b w:val="0"/>
          <w:bCs w:val="0"/>
          <w:u w:val="none"/>
          <w:lang w:val="en-US" w:eastAsia="zh-CN"/>
        </w:rPr>
        <w:t>To improve UL throughput and power consumption saving, heterogeneous NW can be deployed with macro nodes and micro nodes in non-co-located deployment. Wherein the micro nodes only apply to provide UL load balance. Not any DL transmission happens in the micro link, so that the micro node can turn off the DL Tx to save power consumption. The following picture depicts the scenario as below:</w:t>
      </w:r>
    </w:p>
    <w:p>
      <w:pPr>
        <w:pStyle w:val="64"/>
        <w:spacing w:after="60" w:afterAutospacing="0"/>
        <w:ind w:firstLine="0"/>
        <w:jc w:val="center"/>
        <w:rPr>
          <w:lang w:val="en-US"/>
        </w:rPr>
      </w:pPr>
      <w:r>
        <w:rPr>
          <w:lang w:val="en-US" w:eastAsia="ko-KR"/>
        </w:rPr>
        <w:drawing>
          <wp:inline distT="0" distB="0" distL="0" distR="0">
            <wp:extent cx="2381885" cy="1118235"/>
            <wp:effectExtent l="0" t="0" r="10795"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381885" cy="1118235"/>
                    </a:xfrm>
                    <a:prstGeom prst="rect">
                      <a:avLst/>
                    </a:prstGeom>
                    <a:noFill/>
                  </pic:spPr>
                </pic:pic>
              </a:graphicData>
            </a:graphic>
          </wp:inline>
        </w:drawing>
      </w:r>
    </w:p>
    <w:p>
      <w:pPr>
        <w:pStyle w:val="64"/>
        <w:keepNext/>
        <w:spacing w:after="60" w:afterAutospacing="0"/>
        <w:ind w:firstLine="0"/>
        <w:jc w:val="center"/>
        <w:rPr>
          <w:lang w:val="en-US" w:eastAsia="ko-KR"/>
        </w:rPr>
      </w:pPr>
      <w:bookmarkStart w:id="0" w:name="_Ref159147075"/>
      <w:r>
        <w:rPr>
          <w:rFonts w:hint="eastAsia"/>
          <w:lang w:val="en-US" w:eastAsia="ko-KR"/>
        </w:rPr>
        <w:t xml:space="preserve">Figure </w:t>
      </w:r>
      <w:r>
        <w:fldChar w:fldCharType="begin"/>
      </w:r>
      <w:r>
        <w:instrText xml:space="preserve"> SEQ Figure \* ARABIC </w:instrText>
      </w:r>
      <w:r>
        <w:fldChar w:fldCharType="separate"/>
      </w:r>
      <w:r>
        <w:t>1</w:t>
      </w:r>
      <w:r>
        <w:fldChar w:fldCharType="end"/>
      </w:r>
      <w:bookmarkEnd w:id="0"/>
      <w:r>
        <w:rPr>
          <w:rFonts w:hint="eastAsia"/>
          <w:lang w:val="en-US" w:eastAsia="ko-KR"/>
        </w:rPr>
        <w:t xml:space="preserve">. Asymmetric </w:t>
      </w:r>
      <w:r>
        <w:rPr>
          <w:lang w:val="en-US" w:eastAsia="ko-KR"/>
        </w:rPr>
        <w:t xml:space="preserve">DL </w:t>
      </w:r>
      <w:r>
        <w:rPr>
          <w:rFonts w:hint="eastAsia"/>
          <w:lang w:val="en-US" w:eastAsia="ko-KR"/>
        </w:rPr>
        <w:t>sTRP/</w:t>
      </w:r>
      <w:r>
        <w:rPr>
          <w:lang w:val="en-US" w:eastAsia="ko-KR"/>
        </w:rPr>
        <w:t>UL mTRP scenario</w:t>
      </w:r>
    </w:p>
    <w:p>
      <w:pPr>
        <w:pStyle w:val="10"/>
        <w:keepNext w:val="0"/>
        <w:keepLines w:val="0"/>
        <w:pageBreakBefore w:val="0"/>
        <w:widowControl/>
        <w:kinsoku/>
        <w:wordWrap/>
        <w:overflowPunct/>
        <w:topLinePunct w:val="0"/>
        <w:autoSpaceDE/>
        <w:autoSpaceDN/>
        <w:bidi w:val="0"/>
        <w:adjustRightInd/>
        <w:snapToGrid/>
        <w:spacing w:before="120"/>
        <w:textAlignment w:val="auto"/>
        <w:rPr>
          <w:rFonts w:hint="default"/>
          <w:b w:val="0"/>
          <w:bCs w:val="0"/>
          <w:u w:val="none"/>
          <w:lang w:val="en-US" w:eastAsia="zh-CN"/>
        </w:rPr>
      </w:pPr>
      <w:r>
        <w:rPr>
          <w:rFonts w:hint="eastAsia"/>
          <w:b w:val="0"/>
          <w:bCs w:val="0"/>
          <w:u w:val="none"/>
          <w:lang w:val="en-US" w:eastAsia="zh-CN"/>
        </w:rPr>
        <w:t xml:space="preserve">As the update in recent WID revision, 2TA through reusing the 2TA for mDCI based mTRP was approved for this scenario. Furthermore, it should be noted that the restriction that </w:t>
      </w:r>
      <w:r>
        <w:rPr>
          <w:rFonts w:hint="eastAsia"/>
          <w:b w:val="0"/>
          <w:bCs w:val="0"/>
          <w:i/>
          <w:iCs/>
          <w:u w:val="none"/>
          <w:lang w:val="en-US" w:eastAsia="zh-CN"/>
        </w:rPr>
        <w:t xml:space="preserve">coresetPoolIndex </w:t>
      </w:r>
      <w:r>
        <w:rPr>
          <w:rFonts w:hint="eastAsia"/>
          <w:b w:val="0"/>
          <w:bCs w:val="0"/>
          <w:u w:val="none"/>
          <w:lang w:val="en-US" w:eastAsia="zh-CN"/>
        </w:rPr>
        <w:t>needs to be configured was removed. Which means either one CORESET pool or two CORESET pools are both allowed for this scenario.</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1"/>
                <w:numId w:val="7"/>
              </w:numPr>
              <w:overflowPunct/>
              <w:autoSpaceDE/>
              <w:autoSpaceDN/>
              <w:adjustRightInd/>
              <w:snapToGrid w:val="0"/>
              <w:spacing w:after="0"/>
              <w:ind w:left="1440" w:leftChars="0" w:hanging="360" w:firstLineChars="0"/>
              <w:textAlignment w:val="auto"/>
              <w:rPr>
                <w:rFonts w:hint="default"/>
                <w:b w:val="0"/>
                <w:bCs w:val="0"/>
                <w:u w:val="none"/>
                <w:vertAlign w:val="baseline"/>
                <w:lang w:val="en-US" w:eastAsia="zh-CN"/>
              </w:rPr>
            </w:pPr>
            <w:r>
              <w:rPr>
                <w:rFonts w:eastAsia="Times New Roman"/>
                <w:szCs w:val="24"/>
                <w:lang w:eastAsia="en-US"/>
              </w:rPr>
              <w:t>Two TAs through reusing Rel-18 specification of two TAs for multi-DCI-based multi-TRP and removing the restriction that </w:t>
            </w:r>
            <w:r>
              <w:rPr>
                <w:rFonts w:eastAsia="Times New Roman"/>
                <w:i/>
                <w:iCs/>
                <w:szCs w:val="24"/>
                <w:lang w:eastAsia="en-US"/>
              </w:rPr>
              <w:t xml:space="preserve">coresetPoolIndex </w:t>
            </w:r>
            <w:r>
              <w:rPr>
                <w:rFonts w:eastAsia="Times New Roman"/>
                <w:szCs w:val="24"/>
                <w:lang w:eastAsia="en-US"/>
              </w:rPr>
              <w:t>needs to be configured, assuming legacy PRACH resources</w:t>
            </w:r>
          </w:p>
        </w:tc>
      </w:tr>
    </w:tbl>
    <w:p>
      <w:pPr>
        <w:pStyle w:val="10"/>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lang w:val="en-US" w:eastAsia="zh-CN"/>
        </w:rPr>
      </w:pPr>
      <w:r>
        <w:rPr>
          <w:rFonts w:hint="eastAsia"/>
          <w:b w:val="0"/>
          <w:bCs w:val="0"/>
          <w:u w:val="none"/>
          <w:lang w:val="en-US" w:eastAsia="zh-CN"/>
        </w:rPr>
        <w:t>Besides the confirmation of 2TA, it is also mentioned that the Rel-17/18 unified TCI framework should be assumed for this scenario. RAN1 has also approved the following conclusion:</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keepNext w:val="0"/>
              <w:keepLines w:val="0"/>
              <w:pageBreakBefore w:val="0"/>
              <w:kinsoku/>
              <w:wordWrap/>
              <w:overflowPunct/>
              <w:topLinePunct w:val="0"/>
              <w:autoSpaceDE/>
              <w:autoSpaceDN/>
              <w:bidi w:val="0"/>
              <w:adjustRightInd/>
              <w:snapToGrid/>
              <w:textAlignment w:val="auto"/>
              <w:rPr>
                <w:rFonts w:ascii="Times New Roman" w:hAnsi="Times New Roman" w:eastAsia="等线" w:cs="Times New Roman"/>
                <w:b/>
                <w:bCs/>
                <w:kern w:val="0"/>
                <w:sz w:val="20"/>
                <w:szCs w:val="20"/>
                <w:lang w:val="en-CA"/>
              </w:rPr>
            </w:pPr>
            <w:r>
              <w:rPr>
                <w:rFonts w:hint="eastAsia" w:ascii="Times New Roman" w:hAnsi="Times New Roman" w:eastAsia="等线" w:cs="Times New Roman"/>
                <w:b/>
                <w:bCs/>
                <w:kern w:val="0"/>
                <w:sz w:val="20"/>
                <w:szCs w:val="20"/>
                <w:lang w:val="en-CA"/>
              </w:rPr>
              <w:t>RAN</w:t>
            </w:r>
            <w:r>
              <w:rPr>
                <w:rFonts w:ascii="Times New Roman" w:hAnsi="Times New Roman" w:eastAsia="等线" w:cs="Times New Roman"/>
                <w:b/>
                <w:bCs/>
                <w:kern w:val="0"/>
                <w:sz w:val="20"/>
                <w:szCs w:val="20"/>
                <w:lang w:val="en-CA"/>
              </w:rPr>
              <w:t>1#117</w:t>
            </w:r>
            <w:r>
              <w:rPr>
                <w:rFonts w:hint="eastAsia" w:ascii="Times New Roman" w:hAnsi="Times New Roman" w:eastAsia="等线" w:cs="Times New Roman"/>
                <w:b/>
                <w:bCs/>
                <w:kern w:val="0"/>
                <w:sz w:val="20"/>
                <w:szCs w:val="20"/>
                <w:lang w:val="en-CA"/>
              </w:rPr>
              <w:t>:</w:t>
            </w:r>
          </w:p>
          <w:p>
            <w:pPr>
              <w:keepNext w:val="0"/>
              <w:keepLines w:val="0"/>
              <w:pageBreakBefore w:val="0"/>
              <w:kinsoku/>
              <w:wordWrap/>
              <w:overflowPunct/>
              <w:topLinePunct w:val="0"/>
              <w:autoSpaceDE/>
              <w:autoSpaceDN/>
              <w:bidi w:val="0"/>
              <w:adjustRightInd/>
              <w:snapToGrid/>
              <w:textAlignment w:val="auto"/>
              <w:rPr>
                <w:rFonts w:ascii="Times New Roman" w:hAnsi="Times New Roman" w:eastAsia="等线" w:cs="Times New Roman"/>
                <w:kern w:val="0"/>
                <w:sz w:val="20"/>
                <w:szCs w:val="20"/>
                <w:lang w:val="en-CA"/>
              </w:rPr>
            </w:pPr>
            <w:r>
              <w:rPr>
                <w:rFonts w:hint="eastAsia" w:ascii="Times New Roman" w:hAnsi="Times New Roman" w:eastAsia="等线" w:cs="Times New Roman"/>
                <w:b/>
                <w:bCs/>
                <w:kern w:val="0"/>
                <w:sz w:val="20"/>
                <w:szCs w:val="20"/>
                <w:lang w:val="en-CA"/>
              </w:rPr>
              <w:t>Conclusion</w:t>
            </w:r>
          </w:p>
          <w:p>
            <w:pPr>
              <w:keepNext w:val="0"/>
              <w:keepLines w:val="0"/>
              <w:pageBreakBefore w:val="0"/>
              <w:kinsoku/>
              <w:wordWrap/>
              <w:overflowPunct/>
              <w:topLinePunct w:val="0"/>
              <w:autoSpaceDE/>
              <w:autoSpaceDN/>
              <w:bidi w:val="0"/>
              <w:adjustRightInd/>
              <w:snapToGrid/>
              <w:textAlignment w:val="auto"/>
              <w:rPr>
                <w:rFonts w:ascii="Times New Roman" w:hAnsi="Times New Roman" w:eastAsia="等线" w:cs="Times New Roman"/>
                <w:kern w:val="0"/>
                <w:sz w:val="20"/>
                <w:szCs w:val="20"/>
                <w:lang w:val="en-CA"/>
              </w:rPr>
            </w:pPr>
            <w:r>
              <w:rPr>
                <w:rFonts w:ascii="Times New Roman" w:hAnsi="Times New Roman" w:eastAsia="等线" w:cs="Times New Roman"/>
                <w:kern w:val="0"/>
                <w:sz w:val="20"/>
                <w:szCs w:val="20"/>
                <w:lang w:val="en-CA"/>
              </w:rPr>
              <w:t>For the asymmetric DL sTRP/UL mTRP deployment scenario, reuse the rel-17 unified TCI/ICBM and rel-18 unified TCI framework:</w:t>
            </w:r>
          </w:p>
          <w:p>
            <w:pPr>
              <w:keepNext w:val="0"/>
              <w:keepLines w:val="0"/>
              <w:pageBreakBefore w:val="0"/>
              <w:widowControl/>
              <w:numPr>
                <w:ilvl w:val="0"/>
                <w:numId w:val="8"/>
              </w:numPr>
              <w:kinsoku/>
              <w:wordWrap/>
              <w:overflowPunct/>
              <w:topLinePunct w:val="0"/>
              <w:autoSpaceDE/>
              <w:autoSpaceDN/>
              <w:bidi w:val="0"/>
              <w:adjustRightInd/>
              <w:snapToGrid/>
              <w:textAlignment w:val="auto"/>
              <w:rPr>
                <w:rFonts w:ascii="Times New Roman" w:hAnsi="Times New Roman" w:eastAsia="等线" w:cs="Times New Roman"/>
                <w:kern w:val="0"/>
                <w:sz w:val="20"/>
                <w:szCs w:val="22"/>
                <w:lang w:val="en-CA"/>
              </w:rPr>
            </w:pPr>
            <w:r>
              <w:rPr>
                <w:rFonts w:ascii="Times New Roman" w:hAnsi="Times New Roman" w:eastAsia="等线" w:cs="Times New Roman"/>
                <w:kern w:val="0"/>
                <w:sz w:val="20"/>
                <w:szCs w:val="22"/>
                <w:lang w:val="en-CA"/>
              </w:rPr>
              <w:t>When rel-17 unified TCI/ICBM is configured:</w:t>
            </w:r>
          </w:p>
          <w:p>
            <w:pPr>
              <w:keepNext w:val="0"/>
              <w:keepLines w:val="0"/>
              <w:pageBreakBefore w:val="0"/>
              <w:widowControl/>
              <w:numPr>
                <w:ilvl w:val="1"/>
                <w:numId w:val="8"/>
              </w:numPr>
              <w:kinsoku/>
              <w:wordWrap/>
              <w:overflowPunct/>
              <w:topLinePunct w:val="0"/>
              <w:autoSpaceDE/>
              <w:autoSpaceDN/>
              <w:bidi w:val="0"/>
              <w:adjustRightInd/>
              <w:snapToGrid/>
              <w:textAlignment w:val="auto"/>
              <w:rPr>
                <w:rFonts w:ascii="Times New Roman" w:hAnsi="Times New Roman" w:eastAsia="等线" w:cs="Times New Roman"/>
                <w:kern w:val="0"/>
                <w:sz w:val="20"/>
                <w:szCs w:val="22"/>
                <w:lang w:val="en-CA"/>
              </w:rPr>
            </w:pPr>
            <w:r>
              <w:rPr>
                <w:rFonts w:ascii="Times New Roman" w:hAnsi="Times New Roman" w:eastAsia="等线" w:cs="Times New Roman"/>
                <w:kern w:val="0"/>
                <w:sz w:val="20"/>
                <w:szCs w:val="22"/>
                <w:lang w:val="en-CA"/>
              </w:rPr>
              <w:t>For FR1: one joint TCI state or {one DL TCI state + one UL TCI state} can be applied.</w:t>
            </w:r>
          </w:p>
          <w:p>
            <w:pPr>
              <w:keepNext w:val="0"/>
              <w:keepLines w:val="0"/>
              <w:pageBreakBefore w:val="0"/>
              <w:widowControl/>
              <w:numPr>
                <w:ilvl w:val="1"/>
                <w:numId w:val="8"/>
              </w:numPr>
              <w:kinsoku/>
              <w:wordWrap/>
              <w:overflowPunct/>
              <w:topLinePunct w:val="0"/>
              <w:autoSpaceDE/>
              <w:autoSpaceDN/>
              <w:bidi w:val="0"/>
              <w:adjustRightInd/>
              <w:snapToGrid/>
              <w:textAlignment w:val="auto"/>
              <w:rPr>
                <w:rFonts w:ascii="Times New Roman" w:hAnsi="Times New Roman" w:eastAsia="等线" w:cs="Times New Roman"/>
                <w:kern w:val="0"/>
                <w:sz w:val="20"/>
                <w:szCs w:val="22"/>
                <w:lang w:val="en-CA"/>
              </w:rPr>
            </w:pPr>
            <w:r>
              <w:rPr>
                <w:rFonts w:ascii="Times New Roman" w:hAnsi="Times New Roman" w:eastAsia="等线" w:cs="Times New Roman"/>
                <w:kern w:val="0"/>
                <w:sz w:val="20"/>
                <w:szCs w:val="22"/>
                <w:lang w:val="en-CA"/>
              </w:rPr>
              <w:t>For FR2: {one DL TCI state + one UL TCI state} can be applied.</w:t>
            </w:r>
          </w:p>
          <w:p>
            <w:pPr>
              <w:keepNext w:val="0"/>
              <w:keepLines w:val="0"/>
              <w:pageBreakBefore w:val="0"/>
              <w:widowControl/>
              <w:numPr>
                <w:ilvl w:val="0"/>
                <w:numId w:val="8"/>
              </w:numPr>
              <w:kinsoku/>
              <w:wordWrap/>
              <w:overflowPunct/>
              <w:topLinePunct w:val="0"/>
              <w:autoSpaceDE/>
              <w:autoSpaceDN/>
              <w:bidi w:val="0"/>
              <w:adjustRightInd/>
              <w:snapToGrid/>
              <w:textAlignment w:val="auto"/>
              <w:rPr>
                <w:rFonts w:ascii="Times New Roman" w:hAnsi="Times New Roman" w:eastAsia="等线" w:cs="Times New Roman"/>
                <w:kern w:val="0"/>
                <w:sz w:val="20"/>
                <w:szCs w:val="22"/>
                <w:lang w:val="en-CA"/>
              </w:rPr>
            </w:pPr>
            <w:r>
              <w:rPr>
                <w:rFonts w:ascii="Times New Roman" w:hAnsi="Times New Roman" w:eastAsia="等线" w:cs="Times New Roman"/>
                <w:kern w:val="0"/>
                <w:sz w:val="20"/>
                <w:szCs w:val="22"/>
                <w:lang w:val="en-CA"/>
              </w:rPr>
              <w:t>When rel-18 unified TCI is configured:</w:t>
            </w:r>
          </w:p>
          <w:p>
            <w:pPr>
              <w:keepNext w:val="0"/>
              <w:keepLines w:val="0"/>
              <w:pageBreakBefore w:val="0"/>
              <w:widowControl/>
              <w:numPr>
                <w:ilvl w:val="1"/>
                <w:numId w:val="8"/>
              </w:numPr>
              <w:kinsoku/>
              <w:wordWrap/>
              <w:overflowPunct/>
              <w:topLinePunct w:val="0"/>
              <w:autoSpaceDE/>
              <w:autoSpaceDN/>
              <w:bidi w:val="0"/>
              <w:adjustRightInd/>
              <w:snapToGrid/>
              <w:textAlignment w:val="auto"/>
              <w:rPr>
                <w:rFonts w:ascii="Times New Roman" w:hAnsi="Times New Roman" w:eastAsia="等线" w:cs="Times New Roman"/>
                <w:kern w:val="0"/>
                <w:sz w:val="20"/>
                <w:szCs w:val="22"/>
                <w:lang w:val="en-CA"/>
              </w:rPr>
            </w:pPr>
            <w:r>
              <w:rPr>
                <w:rFonts w:ascii="Times New Roman" w:hAnsi="Times New Roman" w:eastAsia="等线" w:cs="Times New Roman"/>
                <w:kern w:val="0"/>
                <w:sz w:val="20"/>
                <w:szCs w:val="22"/>
                <w:lang w:val="en-CA"/>
              </w:rPr>
              <w:t>For FR1: up to two joint TCI states or {one DL TCI state + up to two UL TCI state} can be applied.</w:t>
            </w:r>
          </w:p>
          <w:p>
            <w:pPr>
              <w:keepNext w:val="0"/>
              <w:keepLines w:val="0"/>
              <w:pageBreakBefore w:val="0"/>
              <w:widowControl/>
              <w:numPr>
                <w:ilvl w:val="1"/>
                <w:numId w:val="8"/>
              </w:numPr>
              <w:kinsoku/>
              <w:wordWrap/>
              <w:overflowPunct/>
              <w:topLinePunct w:val="0"/>
              <w:autoSpaceDE/>
              <w:autoSpaceDN/>
              <w:bidi w:val="0"/>
              <w:adjustRightInd/>
              <w:snapToGrid/>
              <w:textAlignment w:val="auto"/>
              <w:rPr>
                <w:rFonts w:ascii="Times New Roman" w:hAnsi="Times New Roman" w:eastAsia="等线" w:cs="Times New Roman"/>
                <w:kern w:val="0"/>
                <w:sz w:val="20"/>
                <w:szCs w:val="22"/>
                <w:lang w:val="en-CA"/>
              </w:rPr>
            </w:pPr>
            <w:r>
              <w:rPr>
                <w:rFonts w:ascii="Times New Roman" w:hAnsi="Times New Roman" w:eastAsia="等线" w:cs="Times New Roman"/>
                <w:kern w:val="0"/>
                <w:sz w:val="20"/>
                <w:szCs w:val="22"/>
                <w:lang w:val="en-CA"/>
              </w:rPr>
              <w:t>For FR2: {one DL TCI state + up to two UL TCI states} can be applied.</w:t>
            </w:r>
          </w:p>
        </w:tc>
      </w:tr>
    </w:tbl>
    <w:p>
      <w:pPr>
        <w:pStyle w:val="10"/>
        <w:keepNext w:val="0"/>
        <w:keepLines w:val="0"/>
        <w:pageBreakBefore w:val="0"/>
        <w:widowControl/>
        <w:kinsoku/>
        <w:wordWrap/>
        <w:overflowPunct/>
        <w:topLinePunct w:val="0"/>
        <w:autoSpaceDE/>
        <w:autoSpaceDN/>
        <w:bidi w:val="0"/>
        <w:adjustRightInd/>
        <w:snapToGrid/>
        <w:spacing w:before="120"/>
        <w:textAlignment w:val="auto"/>
        <w:rPr>
          <w:rFonts w:hint="default"/>
          <w:b w:val="0"/>
          <w:bCs w:val="0"/>
          <w:u w:val="none"/>
          <w:lang w:val="en-US" w:eastAsia="zh-CN"/>
        </w:rPr>
      </w:pPr>
      <w:r>
        <w:rPr>
          <w:rFonts w:hint="eastAsia"/>
          <w:b w:val="0"/>
          <w:bCs w:val="0"/>
          <w:u w:val="none"/>
          <w:lang w:val="en-US" w:eastAsia="zh-CN"/>
        </w:rPr>
        <w:t>So it can be determined that both R17 unified TCI and R18 unified TCI framework are assumed for the asymmetric scenario, and to support 2TA, both joint TCI state and separate TCI state indication could be considered.</w:t>
      </w:r>
    </w:p>
    <w:p>
      <w:pPr>
        <w:pStyle w:val="10"/>
        <w:keepNext w:val="0"/>
        <w:keepLines w:val="0"/>
        <w:pageBreakBefore w:val="0"/>
        <w:widowControl/>
        <w:kinsoku/>
        <w:wordWrap/>
        <w:overflowPunct/>
        <w:topLinePunct w:val="0"/>
        <w:autoSpaceDE/>
        <w:autoSpaceDN/>
        <w:bidi w:val="0"/>
        <w:adjustRightInd/>
        <w:snapToGrid/>
        <w:spacing w:before="120"/>
        <w:textAlignment w:val="auto"/>
        <w:rPr>
          <w:rFonts w:hint="default"/>
          <w:b w:val="0"/>
          <w:bCs w:val="0"/>
          <w:u w:val="none"/>
          <w:lang w:val="en-US" w:eastAsia="zh-CN"/>
        </w:rPr>
      </w:pPr>
      <w:r>
        <w:rPr>
          <w:rFonts w:hint="eastAsia"/>
          <w:b/>
          <w:bCs/>
          <w:lang w:val="en-US" w:eastAsia="zh-CN"/>
        </w:rPr>
        <w:t>Observation 1: Both R17 unified TCI and R18 unified TCI framework are assumed for the asymmetric scenario. Both joint and separate TCI state indication could be considered.</w:t>
      </w:r>
    </w:p>
    <w:p>
      <w:pPr>
        <w:pStyle w:val="10"/>
        <w:keepNext w:val="0"/>
        <w:keepLines w:val="0"/>
        <w:pageBreakBefore w:val="0"/>
        <w:widowControl/>
        <w:kinsoku/>
        <w:wordWrap/>
        <w:overflowPunct/>
        <w:topLinePunct w:val="0"/>
        <w:autoSpaceDE/>
        <w:autoSpaceDN/>
        <w:bidi w:val="0"/>
        <w:adjustRightInd/>
        <w:snapToGrid/>
        <w:spacing w:before="120"/>
        <w:textAlignment w:val="auto"/>
        <w:rPr>
          <w:rFonts w:hint="default"/>
          <w:b w:val="0"/>
          <w:bCs w:val="0"/>
          <w:u w:val="none"/>
          <w:lang w:val="en-US" w:eastAsia="zh-CN"/>
        </w:rPr>
      </w:pPr>
      <w:r>
        <w:rPr>
          <w:rFonts w:hint="eastAsia"/>
          <w:b w:val="0"/>
          <w:bCs w:val="0"/>
          <w:u w:val="none"/>
          <w:lang w:val="en-US" w:eastAsia="zh-CN"/>
        </w:rPr>
        <w:t>In R17 unified TCI framework, since target to sTRP case, so only one CORESET pool is configured, for each joint TCI state or UL TCI state, a single UL TCI state is involved in.</w:t>
      </w:r>
    </w:p>
    <w:p>
      <w:pPr>
        <w:pStyle w:val="10"/>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lang w:val="en-US" w:eastAsia="zh-CN"/>
        </w:rPr>
      </w:pPr>
      <w:r>
        <w:rPr>
          <w:rFonts w:hint="eastAsia"/>
          <w:b w:val="0"/>
          <w:bCs w:val="0"/>
          <w:u w:val="none"/>
          <w:lang w:val="en-US" w:eastAsia="zh-CN"/>
        </w:rPr>
        <w:t xml:space="preserve">In R18 MIMO, sDCI based and mDCI based mTRP scenario have been supported. Especially for mDCI, 2TA based UL transmission is introduced for the capable UE. While for sDCI case, 2TA based UL transmission is not supported due to a lack of time and scope management. To support 2TA mechanism, the association of TAG id with CORESET Pool id would be configured to UE. </w:t>
      </w:r>
    </w:p>
    <w:p>
      <w:pPr>
        <w:pStyle w:val="10"/>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lang w:val="en-US" w:eastAsia="zh-CN"/>
        </w:rPr>
      </w:pPr>
      <w:r>
        <w:rPr>
          <w:rFonts w:hint="eastAsia"/>
          <w:b w:val="0"/>
          <w:bCs w:val="0"/>
          <w:u w:val="none"/>
          <w:lang w:val="en-US" w:eastAsia="zh-CN"/>
        </w:rPr>
        <w:t>In previous RAN4 meeting, supporting 2TA for this scenario has been confirmed, so 2TA relevant RRM impact should be discussed.</w:t>
      </w:r>
    </w:p>
    <w:p>
      <w:pPr>
        <w:pStyle w:val="10"/>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lang w:val="en-US" w:eastAsia="zh-CN"/>
        </w:rPr>
      </w:pPr>
      <w:r>
        <w:rPr>
          <w:rFonts w:hint="eastAsia"/>
          <w:b w:val="0"/>
          <w:bCs w:val="0"/>
          <w:u w:val="none"/>
          <w:lang w:val="en-US" w:eastAsia="zh-CN"/>
        </w:rPr>
        <w:t>As a result, combined the 2TA demand with the unified TCI state framework, it seems the following cases are all in the scope:</w:t>
      </w:r>
    </w:p>
    <w:p>
      <w:pPr>
        <w:pStyle w:val="10"/>
        <w:keepNext w:val="0"/>
        <w:keepLines w:val="0"/>
        <w:pageBreakBefore w:val="0"/>
        <w:widowControl/>
        <w:numPr>
          <w:ilvl w:val="0"/>
          <w:numId w:val="9"/>
        </w:numPr>
        <w:kinsoku/>
        <w:wordWrap/>
        <w:overflowPunct/>
        <w:topLinePunct w:val="0"/>
        <w:autoSpaceDE/>
        <w:autoSpaceDN/>
        <w:bidi w:val="0"/>
        <w:adjustRightInd/>
        <w:snapToGrid/>
        <w:spacing w:before="120"/>
        <w:ind w:left="420" w:leftChars="0" w:hanging="420" w:firstLineChars="0"/>
        <w:textAlignment w:val="auto"/>
        <w:rPr>
          <w:rFonts w:hint="eastAsia"/>
          <w:b w:val="0"/>
          <w:bCs w:val="0"/>
          <w:u w:val="none"/>
          <w:lang w:val="en-US" w:eastAsia="zh-CN"/>
        </w:rPr>
      </w:pPr>
      <w:r>
        <w:rPr>
          <w:rFonts w:hint="eastAsia"/>
          <w:b w:val="0"/>
          <w:bCs w:val="0"/>
          <w:u w:val="none"/>
          <w:lang w:val="en-US" w:eastAsia="zh-CN"/>
        </w:rPr>
        <w:t>Case 1: 2TA +R17 unified TCI state framework</w:t>
      </w:r>
    </w:p>
    <w:p>
      <w:pPr>
        <w:pStyle w:val="10"/>
        <w:keepNext w:val="0"/>
        <w:keepLines w:val="0"/>
        <w:pageBreakBefore w:val="0"/>
        <w:widowControl/>
        <w:numPr>
          <w:ilvl w:val="0"/>
          <w:numId w:val="9"/>
        </w:numPr>
        <w:kinsoku/>
        <w:wordWrap/>
        <w:overflowPunct/>
        <w:topLinePunct w:val="0"/>
        <w:autoSpaceDE/>
        <w:autoSpaceDN/>
        <w:bidi w:val="0"/>
        <w:adjustRightInd/>
        <w:snapToGrid/>
        <w:spacing w:before="120"/>
        <w:ind w:left="420" w:leftChars="0" w:hanging="420" w:firstLineChars="0"/>
        <w:textAlignment w:val="auto"/>
        <w:rPr>
          <w:rFonts w:hint="default"/>
          <w:b w:val="0"/>
          <w:bCs w:val="0"/>
          <w:u w:val="none"/>
          <w:lang w:val="en-US" w:eastAsia="zh-CN"/>
        </w:rPr>
      </w:pPr>
      <w:r>
        <w:rPr>
          <w:rFonts w:hint="eastAsia"/>
          <w:b w:val="0"/>
          <w:bCs w:val="0"/>
          <w:u w:val="none"/>
          <w:lang w:val="en-US" w:eastAsia="zh-CN"/>
        </w:rPr>
        <w:t>Case 3: 2TA +R18 unified TCI state framework + sDCI</w:t>
      </w:r>
    </w:p>
    <w:p>
      <w:pPr>
        <w:pStyle w:val="10"/>
        <w:keepNext w:val="0"/>
        <w:keepLines w:val="0"/>
        <w:pageBreakBefore w:val="0"/>
        <w:widowControl/>
        <w:numPr>
          <w:ilvl w:val="0"/>
          <w:numId w:val="9"/>
        </w:numPr>
        <w:kinsoku/>
        <w:wordWrap/>
        <w:overflowPunct/>
        <w:topLinePunct w:val="0"/>
        <w:autoSpaceDE/>
        <w:autoSpaceDN/>
        <w:bidi w:val="0"/>
        <w:adjustRightInd/>
        <w:snapToGrid/>
        <w:spacing w:before="120"/>
        <w:ind w:left="420" w:leftChars="0" w:hanging="420" w:firstLineChars="0"/>
        <w:textAlignment w:val="auto"/>
        <w:rPr>
          <w:rFonts w:hint="default"/>
          <w:b w:val="0"/>
          <w:bCs w:val="0"/>
          <w:u w:val="none"/>
          <w:lang w:val="en-US" w:eastAsia="zh-CN"/>
        </w:rPr>
      </w:pPr>
      <w:r>
        <w:rPr>
          <w:rFonts w:hint="eastAsia"/>
          <w:b w:val="0"/>
          <w:bCs w:val="0"/>
          <w:strike w:val="0"/>
          <w:dstrike w:val="0"/>
          <w:u w:val="none"/>
          <w:lang w:val="en-US" w:eastAsia="zh-CN"/>
        </w:rPr>
        <w:t xml:space="preserve">Case 2: 2TA +R18 unified TCI </w:t>
      </w:r>
      <w:r>
        <w:rPr>
          <w:rFonts w:hint="eastAsia"/>
          <w:b w:val="0"/>
          <w:bCs w:val="0"/>
          <w:u w:val="none"/>
          <w:lang w:val="en-US" w:eastAsia="zh-CN"/>
        </w:rPr>
        <w:t xml:space="preserve">state </w:t>
      </w:r>
      <w:r>
        <w:rPr>
          <w:rFonts w:hint="eastAsia"/>
          <w:b w:val="0"/>
          <w:bCs w:val="0"/>
          <w:strike w:val="0"/>
          <w:dstrike w:val="0"/>
          <w:u w:val="none"/>
          <w:lang w:val="en-US" w:eastAsia="zh-CN"/>
        </w:rPr>
        <w:t>framework + mDCI</w:t>
      </w:r>
    </w:p>
    <w:p>
      <w:pPr>
        <w:pStyle w:val="10"/>
        <w:bidi w:val="0"/>
        <w:rPr>
          <w:rFonts w:hint="default"/>
          <w:b/>
          <w:bCs/>
          <w:lang w:val="en-US" w:eastAsia="zh-CN"/>
        </w:rPr>
      </w:pPr>
      <w:r>
        <w:rPr>
          <w:rFonts w:hint="eastAsia"/>
          <w:b w:val="0"/>
          <w:bCs w:val="0"/>
          <w:u w:val="none"/>
          <w:lang w:val="en-US" w:eastAsia="zh-CN"/>
        </w:rPr>
        <w:t xml:space="preserve">However, in RAN1 118bis meeting, to support 2TA and remove the restriction on </w:t>
      </w:r>
      <w:r>
        <w:rPr>
          <w:rFonts w:eastAsia="Times New Roman"/>
          <w:i/>
          <w:iCs/>
          <w:szCs w:val="24"/>
          <w:lang w:eastAsia="en-US"/>
        </w:rPr>
        <w:t>coresetPoolIndex</w:t>
      </w:r>
      <w:r>
        <w:rPr>
          <w:rFonts w:hint="eastAsia" w:eastAsia="宋体"/>
          <w:i/>
          <w:iCs/>
          <w:szCs w:val="24"/>
          <w:lang w:val="en-US" w:eastAsia="zh-CN"/>
        </w:rPr>
        <w:t xml:space="preserve"> </w:t>
      </w:r>
      <w:r>
        <w:rPr>
          <w:rFonts w:hint="eastAsia" w:eastAsia="宋体"/>
          <w:i w:val="0"/>
          <w:iCs w:val="0"/>
          <w:szCs w:val="24"/>
          <w:lang w:val="en-US" w:eastAsia="zh-CN"/>
        </w:rPr>
        <w:t>configuration</w:t>
      </w:r>
      <w:r>
        <w:rPr>
          <w:rFonts w:hint="eastAsia"/>
          <w:b w:val="0"/>
          <w:bCs w:val="0"/>
          <w:u w:val="none"/>
          <w:lang w:val="en-US" w:eastAsia="zh-CN"/>
        </w:rPr>
        <w:t>, some further progress was achieved as below:</w:t>
      </w:r>
    </w:p>
    <w:p>
      <w:pPr>
        <w:pStyle w:val="10"/>
        <w:bidi w:val="0"/>
        <w:rPr>
          <w:rFonts w:hint="eastAsia"/>
          <w:b/>
          <w:bCs/>
          <w:lang w:val="en-US" w:eastAsia="zh-CN"/>
        </w:rPr>
      </w:pPr>
      <w:r>
        <w:drawing>
          <wp:inline distT="0" distB="0" distL="114300" distR="114300">
            <wp:extent cx="5020310" cy="1723390"/>
            <wp:effectExtent l="0" t="0" r="8890" b="1016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5020310" cy="1723390"/>
                    </a:xfrm>
                    <a:prstGeom prst="rect">
                      <a:avLst/>
                    </a:prstGeom>
                    <a:noFill/>
                    <a:ln>
                      <a:noFill/>
                    </a:ln>
                  </pic:spPr>
                </pic:pic>
              </a:graphicData>
            </a:graphic>
          </wp:inline>
        </w:drawing>
      </w:r>
    </w:p>
    <w:p>
      <w:pPr>
        <w:pStyle w:val="10"/>
        <w:bidi w:val="0"/>
        <w:rPr>
          <w:rFonts w:hint="default"/>
          <w:b/>
          <w:bCs/>
          <w:lang w:val="en-US" w:eastAsia="zh-CN"/>
        </w:rPr>
      </w:pPr>
      <w:r>
        <w:rPr>
          <w:rFonts w:hint="eastAsia"/>
          <w:b w:val="0"/>
          <w:bCs w:val="0"/>
          <w:u w:val="none"/>
          <w:lang w:val="en-US" w:eastAsia="zh-CN"/>
        </w:rPr>
        <w:t>It can be observed that a single DL reference timing is applied for both TAGs, and the mDCI case is excluded. So the above Case 3 would not happen.</w:t>
      </w:r>
    </w:p>
    <w:p>
      <w:pPr>
        <w:pStyle w:val="10"/>
        <w:bidi w:val="0"/>
        <w:rPr>
          <w:rFonts w:hint="default"/>
          <w:b/>
          <w:bCs/>
          <w:lang w:val="en-US" w:eastAsia="zh-CN"/>
        </w:rPr>
      </w:pPr>
      <w:r>
        <w:rPr>
          <w:rFonts w:hint="eastAsia"/>
          <w:b/>
          <w:bCs/>
          <w:lang w:val="en-US" w:eastAsia="zh-CN"/>
        </w:rPr>
        <w:t>Observation 2: Based on RAN1 progress, a single DL reference timing for both TAGs is confirmed, and mDCI case is excluded. So the two cases should be considered:</w:t>
      </w:r>
    </w:p>
    <w:p>
      <w:pPr>
        <w:pStyle w:val="10"/>
        <w:numPr>
          <w:ilvl w:val="0"/>
          <w:numId w:val="10"/>
        </w:numPr>
        <w:bidi w:val="0"/>
        <w:ind w:left="840" w:leftChars="0" w:hanging="420" w:firstLineChars="0"/>
        <w:rPr>
          <w:rFonts w:hint="default"/>
          <w:b/>
          <w:bCs/>
          <w:lang w:val="en-US" w:eastAsia="zh-CN"/>
        </w:rPr>
      </w:pPr>
      <w:r>
        <w:rPr>
          <w:rFonts w:hint="eastAsia"/>
          <w:b/>
          <w:bCs/>
          <w:lang w:val="en-US" w:eastAsia="zh-CN"/>
        </w:rPr>
        <w:t xml:space="preserve">Case 1: </w:t>
      </w:r>
      <w:r>
        <w:rPr>
          <w:rFonts w:hint="default"/>
          <w:b/>
          <w:bCs/>
          <w:lang w:val="en-US" w:eastAsia="zh-CN"/>
        </w:rPr>
        <w:t>2TA +R17 unified TCI state framework</w:t>
      </w:r>
    </w:p>
    <w:p>
      <w:pPr>
        <w:pStyle w:val="10"/>
        <w:numPr>
          <w:ilvl w:val="0"/>
          <w:numId w:val="10"/>
        </w:numPr>
        <w:bidi w:val="0"/>
        <w:ind w:left="840" w:leftChars="0" w:hanging="420" w:firstLineChars="0"/>
        <w:rPr>
          <w:rFonts w:hint="default"/>
          <w:b/>
          <w:bCs/>
          <w:lang w:val="en-US" w:eastAsia="zh-CN"/>
        </w:rPr>
      </w:pPr>
      <w:r>
        <w:rPr>
          <w:rFonts w:hint="eastAsia"/>
          <w:b/>
          <w:bCs/>
          <w:lang w:val="en-US" w:eastAsia="zh-CN"/>
        </w:rPr>
        <w:t xml:space="preserve">Case 2: </w:t>
      </w:r>
      <w:r>
        <w:rPr>
          <w:rFonts w:hint="default"/>
          <w:b/>
          <w:bCs/>
          <w:lang w:val="en-US" w:eastAsia="zh-CN"/>
        </w:rPr>
        <w:t>2TA +R18 unified TCI state framework + sDCI</w:t>
      </w:r>
    </w:p>
    <w:p>
      <w:pPr>
        <w:pStyle w:val="10"/>
        <w:bidi w:val="0"/>
        <w:rPr>
          <w:rFonts w:hint="eastAsia"/>
          <w:b w:val="0"/>
          <w:bCs w:val="0"/>
          <w:u w:val="none"/>
          <w:lang w:val="en-US" w:eastAsia="zh-CN"/>
        </w:rPr>
      </w:pPr>
      <w:r>
        <w:rPr>
          <w:rFonts w:hint="eastAsia"/>
          <w:b w:val="0"/>
          <w:bCs w:val="0"/>
          <w:u w:val="none"/>
          <w:lang w:val="en-US" w:eastAsia="zh-CN"/>
        </w:rPr>
        <w:t>For Case 1, only one CORESET pool is configured under R17 unified TCI framework. To support multiple UL links, some joint/UL TCI states associates to TRP1, and others associates to TRP2. Accordingly, TAG1 associates to the joint/UL TCI states associated to TRP1, and TAG2 associates to the joint/UL TCI states associated to TRP2. For the both two types of joint/UL TCI states, a common DL timing is assumed. Based on R17 unified TCI state framework, the source RS of UL TCI state could be SSB, CSI-RS or SRS. So it seems no RRM impact to reuse existing R17 UL TCI state. But for Joint TCI state, the source RS could only be SSB or CSI-RS, not SRS, while in this asymmetric scenario, whether SSB is sent from the UL only TRP, RAN1 approved LS reply in [2] during RAN1#119 meeting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spacing w:before="0" w:after="0" w:line="240" w:lineRule="auto"/>
              <w:contextualSpacing/>
              <w:jc w:val="both"/>
              <w:rPr>
                <w:rFonts w:ascii="Times New Roman" w:hAnsi="Times New Roman" w:cs="Times New Roman"/>
                <w:b/>
                <w:bCs/>
              </w:rPr>
            </w:pPr>
            <w:r>
              <w:rPr>
                <w:rFonts w:ascii="Times New Roman" w:hAnsi="Times New Roman" w:cs="Times New Roman"/>
                <w:b/>
                <w:bCs/>
                <w:highlight w:val="lightGray"/>
              </w:rPr>
              <w:t xml:space="preserve">(NR MIMO 9.2.4) </w:t>
            </w:r>
            <w:r>
              <w:rPr>
                <w:rFonts w:ascii="Times New Roman" w:hAnsi="Times New Roman" w:cs="Times New Roman"/>
                <w:b/>
                <w:bCs/>
                <w:highlight w:val="lightGray"/>
              </w:rPr>
              <w:tab/>
            </w:r>
            <w:r>
              <w:rPr>
                <w:rFonts w:ascii="Times New Roman" w:hAnsi="Times New Roman" w:cs="Times New Roman"/>
                <w:b/>
                <w:bCs/>
                <w:highlight w:val="lightGray"/>
              </w:rPr>
              <w:t>Enhancement for asymmetric DL sTRP/UL mTRP scenarios</w:t>
            </w:r>
          </w:p>
          <w:p>
            <w:pPr>
              <w:spacing w:before="0" w:after="0" w:line="240" w:lineRule="auto"/>
              <w:contextualSpacing/>
              <w:jc w:val="both"/>
              <w:rPr>
                <w:rFonts w:ascii="Times New Roman" w:hAnsi="Times New Roman" w:cs="Times New Roman"/>
              </w:rPr>
            </w:pPr>
            <w:r>
              <w:rPr>
                <w:rFonts w:ascii="Times New Roman" w:hAnsi="Times New Roman" w:cs="Times New Roman"/>
                <w:b/>
              </w:rPr>
              <w:t>Question 1:</w:t>
            </w:r>
            <w:r>
              <w:rPr>
                <w:rFonts w:ascii="Times New Roman" w:hAnsi="Times New Roman" w:cs="Times New Roman"/>
              </w:rPr>
              <w:t xml:space="preserve">  RAN4 would like to inquire if the UL TRP(s) can transmit SSBs per the scope of the WID.</w:t>
            </w:r>
          </w:p>
          <w:p>
            <w:pPr>
              <w:spacing w:before="0" w:after="0" w:line="240" w:lineRule="auto"/>
              <w:contextualSpacing/>
              <w:jc w:val="both"/>
              <w:rPr>
                <w:rFonts w:ascii="Times New Roman" w:hAnsi="Times New Roman" w:cs="Times New Roman"/>
              </w:rPr>
            </w:pPr>
          </w:p>
          <w:p>
            <w:pPr>
              <w:pStyle w:val="10"/>
              <w:spacing w:after="0" w:line="240" w:lineRule="auto"/>
              <w:contextualSpacing/>
              <w:rPr>
                <w:rFonts w:hint="default"/>
                <w:b w:val="0"/>
                <w:bCs w:val="0"/>
                <w:u w:val="none"/>
                <w:vertAlign w:val="baseline"/>
                <w:lang w:val="en-US" w:eastAsia="zh-CN"/>
              </w:rPr>
            </w:pPr>
            <w:r>
              <w:rPr>
                <w:rFonts w:ascii="Times New Roman" w:hAnsi="Times New Roman"/>
                <w:b/>
                <w:bCs/>
              </w:rPr>
              <w:t>Reply for Question 1:</w:t>
            </w:r>
            <w:r>
              <w:rPr>
                <w:rFonts w:hint="eastAsia" w:ascii="Times New Roman" w:hAnsi="Times New Roman"/>
                <w:b/>
                <w:bCs/>
              </w:rPr>
              <w:t xml:space="preserve"> </w:t>
            </w:r>
            <w:r>
              <w:rPr>
                <w:rFonts w:ascii="Times New Roman" w:hAnsi="Times New Roman"/>
              </w:rPr>
              <w:t>From the perspective of UE: if UE is configured with PL offset in joint/UL TCI state(s), UE does not expect to receive SSB from UL TRP(s), else, UE may expect to receive SSB from UL TRP(s).</w:t>
            </w:r>
          </w:p>
        </w:tc>
      </w:tr>
    </w:tbl>
    <w:p>
      <w:pPr>
        <w:pStyle w:val="10"/>
        <w:bidi w:val="0"/>
        <w:rPr>
          <w:rFonts w:hint="default"/>
          <w:b w:val="0"/>
          <w:bCs w:val="0"/>
          <w:u w:val="none"/>
          <w:lang w:val="en-US" w:eastAsia="zh-CN"/>
        </w:rPr>
      </w:pPr>
      <w:r>
        <w:rPr>
          <w:rFonts w:hint="eastAsia"/>
          <w:b w:val="0"/>
          <w:bCs w:val="0"/>
          <w:u w:val="none"/>
          <w:lang w:val="en-US" w:eastAsia="zh-CN"/>
        </w:rPr>
        <w:t>Therefore, the two cases with SSB transmission and without SSB transmission are both allowed.</w:t>
      </w:r>
    </w:p>
    <w:p>
      <w:pPr>
        <w:pStyle w:val="10"/>
        <w:bidi w:val="0"/>
        <w:rPr>
          <w:rFonts w:hint="eastAsia"/>
          <w:b w:val="0"/>
          <w:bCs w:val="0"/>
          <w:u w:val="none"/>
          <w:lang w:val="en-US" w:eastAsia="zh-CN"/>
        </w:rPr>
      </w:pPr>
      <w:r>
        <w:rPr>
          <w:rFonts w:hint="eastAsia"/>
          <w:b w:val="0"/>
          <w:bCs w:val="0"/>
          <w:u w:val="none"/>
          <w:lang w:val="en-US" w:eastAsia="zh-CN"/>
        </w:rPr>
        <w:t xml:space="preserve">to our understanding, not any DL signal including DL RS could be transmitted by the UL only TRP, if this can be confirmed, then RAN4 needs to discuss whether and how to apply R17 joint TCI state in the asymmetric scenario. In last RAN4 meeting, RF session sent 1 LS[2] to RAN1 to request the clarification on whether SSB could be transmitted through the UL-only TRP, we can wait for RAN1 reply. </w:t>
      </w:r>
    </w:p>
    <w:p>
      <w:pPr>
        <w:pStyle w:val="10"/>
        <w:bidi w:val="0"/>
        <w:rPr>
          <w:rFonts w:hint="default"/>
          <w:b w:val="0"/>
          <w:bCs w:val="0"/>
          <w:u w:val="none"/>
          <w:lang w:val="en-US" w:eastAsia="zh-CN"/>
        </w:rPr>
      </w:pPr>
      <w:r>
        <w:rPr>
          <w:rFonts w:hint="eastAsia"/>
          <w:b w:val="0"/>
          <w:bCs w:val="0"/>
          <w:u w:val="none"/>
          <w:lang w:val="en-US" w:eastAsia="zh-CN"/>
        </w:rPr>
        <w:t>Actually Case 2 is very similar as Case 1, only differentiate at the number of UL TCI state. From RAN4 perspective, if SSB is still received from the UL-only TRP, then both existing R17/18 joint and UL TCI state could be reused. If no SSB received from the UL-only TRP, RAN4 needs to discuss how to revise the R17/18 joint TCI state to facilitate the asymmetric scenario.</w:t>
      </w:r>
    </w:p>
    <w:p>
      <w:pPr>
        <w:pStyle w:val="10"/>
        <w:bidi w:val="0"/>
        <w:rPr>
          <w:rFonts w:hint="default"/>
          <w:b/>
          <w:bCs/>
          <w:lang w:val="en-US" w:eastAsia="zh-CN"/>
        </w:rPr>
      </w:pPr>
      <w:r>
        <w:rPr>
          <w:rFonts w:hint="eastAsia"/>
          <w:b/>
          <w:bCs/>
          <w:lang w:val="en-US" w:eastAsia="zh-CN"/>
        </w:rPr>
        <w:t>Observation 3: UL TCI state in R17/18 unified TCI state could associate to SSB, CSI-RS and SRS. Joint TCI state in R17/18 unified TCI state could not associate to SRS. No existing requirements defined for SRS associated case.</w:t>
      </w:r>
    </w:p>
    <w:p>
      <w:pPr>
        <w:pStyle w:val="10"/>
        <w:bidi w:val="0"/>
        <w:rPr>
          <w:rFonts w:hint="eastAsia"/>
          <w:b/>
          <w:bCs/>
          <w:lang w:val="en-US" w:eastAsia="zh-CN"/>
        </w:rPr>
      </w:pPr>
      <w:r>
        <w:rPr>
          <w:rFonts w:hint="eastAsia"/>
          <w:b/>
          <w:bCs/>
          <w:lang w:val="en-US" w:eastAsia="zh-CN"/>
        </w:rPr>
        <w:t xml:space="preserve">Proposal 1: When applying R17/18 unified TCI state framework to support 2TA in asymmetric scenario, </w:t>
      </w:r>
    </w:p>
    <w:p>
      <w:pPr>
        <w:pStyle w:val="10"/>
        <w:numPr>
          <w:ilvl w:val="0"/>
          <w:numId w:val="10"/>
        </w:numPr>
        <w:bidi w:val="0"/>
        <w:ind w:left="840" w:leftChars="0" w:hanging="420" w:firstLineChars="0"/>
        <w:rPr>
          <w:rFonts w:hint="default"/>
          <w:b/>
          <w:bCs/>
          <w:lang w:val="en-US" w:eastAsia="zh-CN"/>
        </w:rPr>
      </w:pPr>
      <w:r>
        <w:rPr>
          <w:rFonts w:hint="eastAsia"/>
          <w:b/>
          <w:bCs/>
          <w:lang w:val="en-US" w:eastAsia="zh-CN"/>
        </w:rPr>
        <w:t>If there is SSB received from the UL-only TRP, both existing R17/18 joint and UL TCI state could be used.</w:t>
      </w:r>
    </w:p>
    <w:p>
      <w:pPr>
        <w:pStyle w:val="10"/>
        <w:numPr>
          <w:ilvl w:val="0"/>
          <w:numId w:val="10"/>
        </w:numPr>
        <w:bidi w:val="0"/>
        <w:ind w:left="840" w:leftChars="0" w:hanging="420" w:firstLineChars="0"/>
        <w:rPr>
          <w:rFonts w:hint="eastAsia" w:cs="Times New Roman"/>
          <w:b w:val="0"/>
          <w:bCs w:val="0"/>
          <w:szCs w:val="24"/>
          <w:u w:val="none"/>
          <w:lang w:val="en-US" w:eastAsia="zh-CN" w:bidi="ar-SA"/>
        </w:rPr>
      </w:pPr>
      <w:r>
        <w:rPr>
          <w:rFonts w:hint="eastAsia"/>
          <w:b/>
          <w:bCs/>
          <w:lang w:val="en-US" w:eastAsia="zh-CN"/>
        </w:rPr>
        <w:t>Otherwise, only the UL TCI state of existing R17/18 could be used for the UL-only TRP.</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10"/>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observations and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w:t>
      </w:r>
    </w:p>
    <w:p>
      <w:pPr>
        <w:pStyle w:val="10"/>
        <w:keepNext w:val="0"/>
        <w:keepLines w:val="0"/>
        <w:pageBreakBefore w:val="0"/>
        <w:widowControl/>
        <w:kinsoku/>
        <w:wordWrap/>
        <w:overflowPunct/>
        <w:topLinePunct w:val="0"/>
        <w:autoSpaceDE/>
        <w:autoSpaceDN/>
        <w:bidi w:val="0"/>
        <w:adjustRightInd/>
        <w:snapToGrid/>
        <w:spacing w:before="120"/>
        <w:textAlignment w:val="auto"/>
        <w:rPr>
          <w:rFonts w:hint="eastAsia"/>
          <w:b/>
          <w:bCs/>
          <w:lang w:val="en-US" w:eastAsia="zh-CN"/>
        </w:rPr>
      </w:pPr>
      <w:r>
        <w:rPr>
          <w:rFonts w:hint="eastAsia"/>
          <w:b/>
          <w:bCs/>
          <w:lang w:val="en-US" w:eastAsia="zh-CN"/>
        </w:rPr>
        <w:t>Observation 1: Both R17 unified TCI and R18 unified TCI framework are assumed for the asymmetric scenario. Both joint and separate TCI state indication could be considered.</w:t>
      </w:r>
    </w:p>
    <w:p>
      <w:pPr>
        <w:pStyle w:val="10"/>
        <w:bidi w:val="0"/>
        <w:rPr>
          <w:rFonts w:hint="default"/>
          <w:b/>
          <w:bCs/>
          <w:lang w:val="en-US" w:eastAsia="zh-CN"/>
        </w:rPr>
      </w:pPr>
      <w:r>
        <w:rPr>
          <w:rFonts w:hint="eastAsia"/>
          <w:b/>
          <w:bCs/>
          <w:lang w:val="en-US" w:eastAsia="zh-CN"/>
        </w:rPr>
        <w:t>Observation 2: Based on RAN1 progress, a single DL reference timing for both TAGs is confirmed, and mDCI case is excluded. So the two cases should be considered:</w:t>
      </w:r>
    </w:p>
    <w:p>
      <w:pPr>
        <w:pStyle w:val="10"/>
        <w:numPr>
          <w:ilvl w:val="0"/>
          <w:numId w:val="10"/>
        </w:numPr>
        <w:bidi w:val="0"/>
        <w:ind w:left="840" w:leftChars="0" w:hanging="420" w:firstLineChars="0"/>
        <w:rPr>
          <w:rFonts w:hint="default"/>
          <w:b/>
          <w:bCs/>
          <w:lang w:val="en-US" w:eastAsia="zh-CN"/>
        </w:rPr>
      </w:pPr>
      <w:r>
        <w:rPr>
          <w:rFonts w:hint="eastAsia"/>
          <w:b/>
          <w:bCs/>
          <w:lang w:val="en-US" w:eastAsia="zh-CN"/>
        </w:rPr>
        <w:t xml:space="preserve">Case 1: </w:t>
      </w:r>
      <w:r>
        <w:rPr>
          <w:rFonts w:hint="default"/>
          <w:b/>
          <w:bCs/>
          <w:lang w:val="en-US" w:eastAsia="zh-CN"/>
        </w:rPr>
        <w:t>2TA +R17 unified TCI state framework</w:t>
      </w:r>
    </w:p>
    <w:p>
      <w:pPr>
        <w:pStyle w:val="10"/>
        <w:numPr>
          <w:ilvl w:val="0"/>
          <w:numId w:val="10"/>
        </w:numPr>
        <w:bidi w:val="0"/>
        <w:ind w:left="840" w:leftChars="0" w:hanging="420" w:firstLineChars="0"/>
        <w:rPr>
          <w:rFonts w:hint="eastAsia"/>
          <w:b/>
          <w:bCs/>
          <w:lang w:val="en-US" w:eastAsia="zh-CN"/>
        </w:rPr>
      </w:pPr>
      <w:r>
        <w:rPr>
          <w:rFonts w:hint="eastAsia"/>
          <w:b/>
          <w:bCs/>
          <w:lang w:val="en-US" w:eastAsia="zh-CN"/>
        </w:rPr>
        <w:t xml:space="preserve">Case 2: </w:t>
      </w:r>
      <w:r>
        <w:rPr>
          <w:rFonts w:hint="default"/>
          <w:b/>
          <w:bCs/>
          <w:lang w:val="en-US" w:eastAsia="zh-CN"/>
        </w:rPr>
        <w:t>2TA +R18 unified TCI state framework + sDCI</w:t>
      </w:r>
    </w:p>
    <w:p>
      <w:pPr>
        <w:pStyle w:val="10"/>
        <w:bidi w:val="0"/>
        <w:rPr>
          <w:rFonts w:hint="default"/>
          <w:b/>
          <w:bCs/>
          <w:lang w:val="en-US" w:eastAsia="zh-CN"/>
        </w:rPr>
      </w:pPr>
      <w:r>
        <w:rPr>
          <w:rFonts w:hint="eastAsia"/>
          <w:b/>
          <w:bCs/>
          <w:lang w:val="en-US" w:eastAsia="zh-CN"/>
        </w:rPr>
        <w:t>Observation 3: UL TCI state in R17/18 unified TCI state could associate to SSB, CSI-RS and SRS. Joint TCI state in R17/18 unified TCI state could not associate to SRS. No existing requirements defined for SRS associated case.</w:t>
      </w:r>
    </w:p>
    <w:p>
      <w:pPr>
        <w:pStyle w:val="10"/>
        <w:bidi w:val="0"/>
        <w:rPr>
          <w:rFonts w:hint="eastAsia"/>
          <w:b/>
          <w:bCs/>
          <w:lang w:val="en-US" w:eastAsia="zh-CN"/>
        </w:rPr>
      </w:pPr>
      <w:r>
        <w:rPr>
          <w:rFonts w:hint="eastAsia"/>
          <w:b/>
          <w:bCs/>
          <w:lang w:val="en-US" w:eastAsia="zh-CN"/>
        </w:rPr>
        <w:t xml:space="preserve">Proposal 1: When applying R17/18 unified TCI state framework to support 2TA in asymmetric scenario, </w:t>
      </w:r>
    </w:p>
    <w:p>
      <w:pPr>
        <w:pStyle w:val="10"/>
        <w:numPr>
          <w:ilvl w:val="0"/>
          <w:numId w:val="10"/>
        </w:numPr>
        <w:bidi w:val="0"/>
        <w:ind w:left="840" w:leftChars="0" w:hanging="420" w:firstLineChars="0"/>
        <w:rPr>
          <w:rFonts w:hint="default"/>
          <w:b/>
          <w:bCs/>
          <w:lang w:val="en-US" w:eastAsia="zh-CN"/>
        </w:rPr>
      </w:pPr>
      <w:r>
        <w:rPr>
          <w:rFonts w:hint="eastAsia"/>
          <w:b/>
          <w:bCs/>
          <w:lang w:val="en-US" w:eastAsia="zh-CN"/>
        </w:rPr>
        <w:t>If there is SSB received from the UL-only TRP, both existing R17/18 joint and UL TCI state could be used.</w:t>
      </w:r>
    </w:p>
    <w:p>
      <w:pPr>
        <w:pStyle w:val="10"/>
        <w:numPr>
          <w:ilvl w:val="0"/>
          <w:numId w:val="10"/>
        </w:numPr>
        <w:bidi w:val="0"/>
        <w:ind w:left="840" w:leftChars="0" w:hanging="420" w:firstLineChars="0"/>
        <w:rPr>
          <w:rFonts w:hint="default"/>
          <w:b/>
          <w:bCs/>
          <w:lang w:val="en-US" w:eastAsia="zh-CN"/>
        </w:rPr>
      </w:pPr>
      <w:r>
        <w:rPr>
          <w:rFonts w:hint="eastAsia"/>
          <w:b/>
          <w:bCs/>
          <w:lang w:val="en-US" w:eastAsia="zh-CN"/>
        </w:rPr>
        <w:t>Otherwise, only the UL TCI state of existing R17/18 could be used for the UL-only TRP.</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60"/>
        <w:numPr>
          <w:ilvl w:val="0"/>
          <w:numId w:val="11"/>
        </w:numPr>
        <w:spacing w:after="120" w:line="288" w:lineRule="auto"/>
        <w:ind w:firstLineChars="0"/>
        <w:rPr>
          <w:rFonts w:hint="eastAsia"/>
          <w:color w:val="auto"/>
          <w:sz w:val="20"/>
          <w:szCs w:val="20"/>
          <w:highlight w:val="none"/>
          <w:lang w:val="en-US" w:eastAsia="zh-CN"/>
        </w:rPr>
      </w:pPr>
      <w:r>
        <w:rPr>
          <w:rFonts w:hint="eastAsia"/>
          <w:color w:val="auto"/>
          <w:sz w:val="20"/>
          <w:szCs w:val="20"/>
          <w:highlight w:val="none"/>
          <w:lang w:val="en-US" w:eastAsia="zh-CN"/>
        </w:rPr>
        <w:t>R4-2502596, WF on RRM requirements for NR_MIMO_Ph5_part 2, MediaTek inc. RAN4#114</w:t>
      </w:r>
    </w:p>
    <w:p>
      <w:pPr>
        <w:pStyle w:val="60"/>
        <w:numPr>
          <w:ilvl w:val="0"/>
          <w:numId w:val="11"/>
        </w:numPr>
        <w:spacing w:after="120" w:line="288" w:lineRule="auto"/>
        <w:ind w:firstLineChars="0"/>
        <w:rPr>
          <w:rFonts w:hint="eastAsia"/>
          <w:color w:val="auto"/>
          <w:sz w:val="20"/>
          <w:szCs w:val="20"/>
          <w:highlight w:val="none"/>
          <w:lang w:val="en-US" w:eastAsia="zh-CN"/>
        </w:rPr>
      </w:pPr>
      <w:r>
        <w:rPr>
          <w:rFonts w:hint="eastAsia"/>
          <w:color w:val="auto"/>
          <w:sz w:val="20"/>
          <w:szCs w:val="20"/>
          <w:highlight w:val="none"/>
          <w:lang w:val="en-US" w:eastAsia="zh-CN"/>
        </w:rPr>
        <w:t>R1-2410870, Reply to RAN4 LS on UE RF issues for Rel-19 MIMO Enhancement, RAN1#119</w:t>
      </w:r>
    </w:p>
    <w:p>
      <w:pPr>
        <w:pStyle w:val="60"/>
        <w:numPr>
          <w:ilvl w:val="0"/>
          <w:numId w:val="0"/>
        </w:numPr>
        <w:spacing w:after="120" w:line="288" w:lineRule="auto"/>
        <w:ind w:leftChars="0"/>
        <w:rPr>
          <w:rFonts w:hint="eastAsia"/>
          <w:color w:val="auto"/>
          <w:sz w:val="20"/>
          <w:szCs w:val="20"/>
          <w:highlight w:val="none"/>
          <w:lang w:val="en-US" w:eastAsia="zh-CN"/>
        </w:rPr>
      </w:pPr>
    </w:p>
    <w:p>
      <w:pPr>
        <w:pStyle w:val="11"/>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DengXian">
    <w:altName w:val="宋体"/>
    <w:panose1 w:val="02010600030101010101"/>
    <w:charset w:val="86"/>
    <w:family w:val="auto"/>
    <w:pitch w:val="default"/>
    <w:sig w:usb0="00000000" w:usb1="00000000" w:usb2="00000016" w:usb3="00000000" w:csb0="0004000F" w:csb1="00000000"/>
  </w:font>
  <w:font w:name="等线">
    <w:altName w:val="Arial Unicode MS"/>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8B81AC"/>
    <w:multiLevelType w:val="multilevel"/>
    <w:tmpl w:val="DE8B81AC"/>
    <w:lvl w:ilvl="0" w:tentative="0">
      <w:start w:val="2"/>
      <w:numFmt w:val="decimal"/>
      <w:lvlText w:val="%1."/>
      <w:lvlJc w:val="left"/>
      <w:pPr>
        <w:tabs>
          <w:tab w:val="left" w:pos="720"/>
        </w:tabs>
        <w:ind w:left="720" w:hanging="360"/>
      </w:pPr>
    </w:lvl>
    <w:lvl w:ilvl="1" w:tentative="0">
      <w:start w:val="2"/>
      <w:numFmt w:val="lowerLetter"/>
      <w:lvlText w:val="%2."/>
      <w:lvlJc w:val="left"/>
      <w:pPr>
        <w:tabs>
          <w:tab w:val="left" w:pos="1440"/>
        </w:tabs>
        <w:ind w:left="1440" w:hanging="360"/>
      </w:pPr>
      <w:rPr>
        <w:rFonts w:hint="default"/>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038B4A06"/>
    <w:multiLevelType w:val="singleLevel"/>
    <w:tmpl w:val="038B4A06"/>
    <w:lvl w:ilvl="0" w:tentative="0">
      <w:start w:val="1"/>
      <w:numFmt w:val="bullet"/>
      <w:lvlText w:val=""/>
      <w:lvlJc w:val="left"/>
      <w:pPr>
        <w:tabs>
          <w:tab w:val="left" w:pos="420"/>
        </w:tabs>
        <w:ind w:left="840" w:hanging="420"/>
      </w:pPr>
      <w:rPr>
        <w:rFonts w:hint="default" w:ascii="Wingdings" w:hAnsi="Wingdings"/>
      </w:rPr>
    </w:lvl>
  </w:abstractNum>
  <w:abstractNum w:abstractNumId="2">
    <w:nsid w:val="0AF03C44"/>
    <w:multiLevelType w:val="multilevel"/>
    <w:tmpl w:val="0AF03C44"/>
    <w:lvl w:ilvl="0" w:tentative="0">
      <w:start w:val="1"/>
      <w:numFmt w:val="decimal"/>
      <w:lvlText w:val="[%1]"/>
      <w:lvlJc w:val="left"/>
      <w:pPr>
        <w:ind w:left="360" w:hanging="360"/>
      </w:pPr>
      <w:rPr>
        <w:rFonts w:hint="eastAsia"/>
      </w:rPr>
    </w:lvl>
    <w:lvl w:ilvl="1" w:tentative="0">
      <w:start w:val="1"/>
      <w:numFmt w:val="lowerLetter"/>
      <w:lvlText w:val="%2."/>
      <w:lvlJc w:val="left"/>
      <w:pPr>
        <w:ind w:left="1840" w:hanging="360"/>
      </w:pPr>
    </w:lvl>
    <w:lvl w:ilvl="2" w:tentative="0">
      <w:start w:val="1"/>
      <w:numFmt w:val="lowerRoman"/>
      <w:lvlText w:val="%3."/>
      <w:lvlJc w:val="right"/>
      <w:pPr>
        <w:ind w:left="2560" w:hanging="180"/>
      </w:pPr>
    </w:lvl>
    <w:lvl w:ilvl="3" w:tentative="0">
      <w:start w:val="1"/>
      <w:numFmt w:val="decimal"/>
      <w:lvlText w:val="%4."/>
      <w:lvlJc w:val="left"/>
      <w:pPr>
        <w:ind w:left="3280" w:hanging="360"/>
      </w:pPr>
    </w:lvl>
    <w:lvl w:ilvl="4" w:tentative="0">
      <w:start w:val="1"/>
      <w:numFmt w:val="lowerLetter"/>
      <w:lvlText w:val="%5."/>
      <w:lvlJc w:val="left"/>
      <w:pPr>
        <w:ind w:left="4000" w:hanging="360"/>
      </w:pPr>
    </w:lvl>
    <w:lvl w:ilvl="5" w:tentative="0">
      <w:start w:val="1"/>
      <w:numFmt w:val="lowerRoman"/>
      <w:lvlText w:val="%6."/>
      <w:lvlJc w:val="right"/>
      <w:pPr>
        <w:ind w:left="4720" w:hanging="180"/>
      </w:pPr>
    </w:lvl>
    <w:lvl w:ilvl="6" w:tentative="0">
      <w:start w:val="1"/>
      <w:numFmt w:val="decimal"/>
      <w:lvlText w:val="%7."/>
      <w:lvlJc w:val="left"/>
      <w:pPr>
        <w:ind w:left="5440" w:hanging="360"/>
      </w:pPr>
    </w:lvl>
    <w:lvl w:ilvl="7" w:tentative="0">
      <w:start w:val="1"/>
      <w:numFmt w:val="lowerLetter"/>
      <w:lvlText w:val="%8."/>
      <w:lvlJc w:val="left"/>
      <w:pPr>
        <w:ind w:left="6160" w:hanging="360"/>
      </w:pPr>
    </w:lvl>
    <w:lvl w:ilvl="8" w:tentative="0">
      <w:start w:val="1"/>
      <w:numFmt w:val="lowerRoman"/>
      <w:lvlText w:val="%9."/>
      <w:lvlJc w:val="right"/>
      <w:pPr>
        <w:ind w:left="6880" w:hanging="180"/>
      </w:p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19B863E8"/>
    <w:multiLevelType w:val="multilevel"/>
    <w:tmpl w:val="19B863E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21D65C1"/>
    <w:multiLevelType w:val="multilevel"/>
    <w:tmpl w:val="221D65C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40B44AA"/>
    <w:multiLevelType w:val="multilevel"/>
    <w:tmpl w:val="340B44AA"/>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40DBAD96"/>
    <w:multiLevelType w:val="singleLevel"/>
    <w:tmpl w:val="40DBAD96"/>
    <w:lvl w:ilvl="0" w:tentative="0">
      <w:start w:val="1"/>
      <w:numFmt w:val="bullet"/>
      <w:lvlText w:val=""/>
      <w:lvlJc w:val="left"/>
      <w:pPr>
        <w:ind w:left="420" w:hanging="420"/>
      </w:pPr>
      <w:rPr>
        <w:rFonts w:hint="default" w:ascii="Wingdings" w:hAnsi="Wingdings"/>
      </w:rPr>
    </w:lvl>
  </w:abstractNum>
  <w:abstractNum w:abstractNumId="8">
    <w:nsid w:val="4D6E3167"/>
    <w:multiLevelType w:val="multilevel"/>
    <w:tmpl w:val="4D6E3167"/>
    <w:lvl w:ilvl="0" w:tentative="0">
      <w:start w:val="1"/>
      <w:numFmt w:val="decimal"/>
      <w:pStyle w:val="4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0">
    <w:nsid w:val="6B5B4F67"/>
    <w:multiLevelType w:val="multilevel"/>
    <w:tmpl w:val="6B5B4F67"/>
    <w:lvl w:ilvl="0" w:tentative="0">
      <w:start w:val="1"/>
      <w:numFmt w:val="decimal"/>
      <w:pStyle w:val="11"/>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10"/>
  </w:num>
  <w:num w:numId="2">
    <w:abstractNumId w:val="8"/>
  </w:num>
  <w:num w:numId="3">
    <w:abstractNumId w:val="3"/>
  </w:num>
  <w:num w:numId="4">
    <w:abstractNumId w:val="4"/>
  </w:num>
  <w:num w:numId="5">
    <w:abstractNumId w:val="6"/>
  </w:num>
  <w:num w:numId="6">
    <w:abstractNumId w:val="9"/>
  </w:num>
  <w:num w:numId="7">
    <w:abstractNumId w:val="0"/>
  </w:num>
  <w:num w:numId="8">
    <w:abstractNumId w:val="5"/>
  </w:num>
  <w:num w:numId="9">
    <w:abstractNumId w:val="7"/>
  </w:num>
  <w:num w:numId="10">
    <w:abstractNumId w:val="1"/>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13B7B"/>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39C0"/>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49798F"/>
    <w:rsid w:val="044B6418"/>
    <w:rsid w:val="0453753A"/>
    <w:rsid w:val="045A5C38"/>
    <w:rsid w:val="04654053"/>
    <w:rsid w:val="046B34D6"/>
    <w:rsid w:val="046D3DD6"/>
    <w:rsid w:val="046F3AAD"/>
    <w:rsid w:val="04793516"/>
    <w:rsid w:val="047A3CFF"/>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D9553D"/>
    <w:rsid w:val="06E87421"/>
    <w:rsid w:val="06F15E1D"/>
    <w:rsid w:val="06F2189D"/>
    <w:rsid w:val="070B7354"/>
    <w:rsid w:val="07192D61"/>
    <w:rsid w:val="072A67BD"/>
    <w:rsid w:val="073E6558"/>
    <w:rsid w:val="074D5303"/>
    <w:rsid w:val="07516DF0"/>
    <w:rsid w:val="07674933"/>
    <w:rsid w:val="077016F0"/>
    <w:rsid w:val="0774438D"/>
    <w:rsid w:val="079B4DA3"/>
    <w:rsid w:val="07CD3CDD"/>
    <w:rsid w:val="07CE116F"/>
    <w:rsid w:val="07DC5FE3"/>
    <w:rsid w:val="07E51502"/>
    <w:rsid w:val="07F37416"/>
    <w:rsid w:val="080A3AE6"/>
    <w:rsid w:val="080F6EA0"/>
    <w:rsid w:val="083C577C"/>
    <w:rsid w:val="08494E41"/>
    <w:rsid w:val="084A467B"/>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E90962"/>
    <w:rsid w:val="09F45172"/>
    <w:rsid w:val="0A041656"/>
    <w:rsid w:val="0A0A79AC"/>
    <w:rsid w:val="0A0F23B7"/>
    <w:rsid w:val="0A1A31A1"/>
    <w:rsid w:val="0A1E5F47"/>
    <w:rsid w:val="0A3A507F"/>
    <w:rsid w:val="0A5F6393"/>
    <w:rsid w:val="0A70282B"/>
    <w:rsid w:val="0A992429"/>
    <w:rsid w:val="0AAC36DF"/>
    <w:rsid w:val="0AD017A1"/>
    <w:rsid w:val="0AE47427"/>
    <w:rsid w:val="0AEB4F7E"/>
    <w:rsid w:val="0B0362DC"/>
    <w:rsid w:val="0B12013A"/>
    <w:rsid w:val="0B1E364C"/>
    <w:rsid w:val="0B2D2436"/>
    <w:rsid w:val="0B3D3C2F"/>
    <w:rsid w:val="0B536C7D"/>
    <w:rsid w:val="0B5F1776"/>
    <w:rsid w:val="0B691F99"/>
    <w:rsid w:val="0B6E169D"/>
    <w:rsid w:val="0B735EF6"/>
    <w:rsid w:val="0B8D76AE"/>
    <w:rsid w:val="0B937689"/>
    <w:rsid w:val="0B993DEF"/>
    <w:rsid w:val="0BAF5541"/>
    <w:rsid w:val="0BB0429A"/>
    <w:rsid w:val="0BB97253"/>
    <w:rsid w:val="0BDE36C2"/>
    <w:rsid w:val="0BE1300C"/>
    <w:rsid w:val="0BFF5FC6"/>
    <w:rsid w:val="0C265CE3"/>
    <w:rsid w:val="0C394019"/>
    <w:rsid w:val="0C491F24"/>
    <w:rsid w:val="0C5D35AC"/>
    <w:rsid w:val="0C636AE4"/>
    <w:rsid w:val="0C6D1703"/>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82368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11411F"/>
    <w:rsid w:val="0F2F16F0"/>
    <w:rsid w:val="0F30051C"/>
    <w:rsid w:val="0F4D3D97"/>
    <w:rsid w:val="0F6A0E3E"/>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851262"/>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7E44DB"/>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667D5"/>
    <w:rsid w:val="17B800D8"/>
    <w:rsid w:val="17BC1358"/>
    <w:rsid w:val="17C75441"/>
    <w:rsid w:val="17D90F2F"/>
    <w:rsid w:val="17E21B65"/>
    <w:rsid w:val="17E3400D"/>
    <w:rsid w:val="17F30A5E"/>
    <w:rsid w:val="180A6E32"/>
    <w:rsid w:val="181048FB"/>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8541DD"/>
    <w:rsid w:val="1A961A54"/>
    <w:rsid w:val="1AAC72D1"/>
    <w:rsid w:val="1AAE4BD8"/>
    <w:rsid w:val="1AC2149C"/>
    <w:rsid w:val="1AD01A1B"/>
    <w:rsid w:val="1AFA5806"/>
    <w:rsid w:val="1B193BA2"/>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53DA4"/>
    <w:rsid w:val="1E0B3A3E"/>
    <w:rsid w:val="1E1016BE"/>
    <w:rsid w:val="1E130F58"/>
    <w:rsid w:val="1E132F88"/>
    <w:rsid w:val="1E152CCF"/>
    <w:rsid w:val="1E186D0C"/>
    <w:rsid w:val="1E2867E9"/>
    <w:rsid w:val="1E322697"/>
    <w:rsid w:val="1E375205"/>
    <w:rsid w:val="1E424AE1"/>
    <w:rsid w:val="1E442C4B"/>
    <w:rsid w:val="1E4C6FA9"/>
    <w:rsid w:val="1E5C1C6B"/>
    <w:rsid w:val="1E7E2DE1"/>
    <w:rsid w:val="1E853F6F"/>
    <w:rsid w:val="1E9C7B40"/>
    <w:rsid w:val="1E9C7BCC"/>
    <w:rsid w:val="1EB03052"/>
    <w:rsid w:val="1ECC1E3C"/>
    <w:rsid w:val="1EDA03C7"/>
    <w:rsid w:val="1EEC0AD7"/>
    <w:rsid w:val="1EF733BD"/>
    <w:rsid w:val="1F035011"/>
    <w:rsid w:val="1F035EC0"/>
    <w:rsid w:val="1F08731E"/>
    <w:rsid w:val="1F1C0F96"/>
    <w:rsid w:val="1F1F0A33"/>
    <w:rsid w:val="1F224E53"/>
    <w:rsid w:val="1F2430F7"/>
    <w:rsid w:val="1F2D1872"/>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04368"/>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53F88"/>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CE2978"/>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7D056D"/>
    <w:rsid w:val="24A9296F"/>
    <w:rsid w:val="24AE3030"/>
    <w:rsid w:val="24AF10AE"/>
    <w:rsid w:val="24B36018"/>
    <w:rsid w:val="24B904B5"/>
    <w:rsid w:val="24BA56EB"/>
    <w:rsid w:val="24D4257E"/>
    <w:rsid w:val="24D91A37"/>
    <w:rsid w:val="24E25A76"/>
    <w:rsid w:val="24E905CF"/>
    <w:rsid w:val="24F138B7"/>
    <w:rsid w:val="24F522AF"/>
    <w:rsid w:val="25150DEA"/>
    <w:rsid w:val="253F3354"/>
    <w:rsid w:val="254F0F7E"/>
    <w:rsid w:val="255E256B"/>
    <w:rsid w:val="256F6F7E"/>
    <w:rsid w:val="2572202B"/>
    <w:rsid w:val="25756A55"/>
    <w:rsid w:val="25B04653"/>
    <w:rsid w:val="25BB4F4D"/>
    <w:rsid w:val="25C149BB"/>
    <w:rsid w:val="25C679DB"/>
    <w:rsid w:val="25DF6DC9"/>
    <w:rsid w:val="25EE4445"/>
    <w:rsid w:val="25EE4B76"/>
    <w:rsid w:val="2605683C"/>
    <w:rsid w:val="260971F7"/>
    <w:rsid w:val="26123BFB"/>
    <w:rsid w:val="26213C17"/>
    <w:rsid w:val="26233B26"/>
    <w:rsid w:val="2633160E"/>
    <w:rsid w:val="265B3CA1"/>
    <w:rsid w:val="265F6DC4"/>
    <w:rsid w:val="2662516B"/>
    <w:rsid w:val="26674DA0"/>
    <w:rsid w:val="266D3EB0"/>
    <w:rsid w:val="267D2B84"/>
    <w:rsid w:val="267F14C1"/>
    <w:rsid w:val="269340B6"/>
    <w:rsid w:val="2694746C"/>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963E0C"/>
    <w:rsid w:val="28B05368"/>
    <w:rsid w:val="28C81976"/>
    <w:rsid w:val="28FE4BB8"/>
    <w:rsid w:val="29106F5A"/>
    <w:rsid w:val="2926398A"/>
    <w:rsid w:val="2938186E"/>
    <w:rsid w:val="29472B8C"/>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453FA"/>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4260E"/>
    <w:rsid w:val="2DEE06C1"/>
    <w:rsid w:val="2DFB58F0"/>
    <w:rsid w:val="2E014790"/>
    <w:rsid w:val="2E0265C0"/>
    <w:rsid w:val="2E1017A1"/>
    <w:rsid w:val="2E540AA2"/>
    <w:rsid w:val="2E8D151C"/>
    <w:rsid w:val="2E9A328C"/>
    <w:rsid w:val="2E9B6813"/>
    <w:rsid w:val="2E9C68B8"/>
    <w:rsid w:val="2E9C766C"/>
    <w:rsid w:val="2EA9176F"/>
    <w:rsid w:val="2EAE3922"/>
    <w:rsid w:val="2EB1033E"/>
    <w:rsid w:val="2EB32811"/>
    <w:rsid w:val="2EB727B2"/>
    <w:rsid w:val="2EE51747"/>
    <w:rsid w:val="2EE77680"/>
    <w:rsid w:val="2EEC1357"/>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9E3F0A"/>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2A79A4"/>
    <w:rsid w:val="34320003"/>
    <w:rsid w:val="343F1997"/>
    <w:rsid w:val="34404F77"/>
    <w:rsid w:val="34440AE0"/>
    <w:rsid w:val="344E7B7B"/>
    <w:rsid w:val="34806536"/>
    <w:rsid w:val="34807672"/>
    <w:rsid w:val="34934CB1"/>
    <w:rsid w:val="349F7CE9"/>
    <w:rsid w:val="34C43C38"/>
    <w:rsid w:val="34CB2E3B"/>
    <w:rsid w:val="34CD1A98"/>
    <w:rsid w:val="34CF2BD8"/>
    <w:rsid w:val="34ED1C61"/>
    <w:rsid w:val="34F04638"/>
    <w:rsid w:val="351457B8"/>
    <w:rsid w:val="353E0BCA"/>
    <w:rsid w:val="35444C30"/>
    <w:rsid w:val="354B524C"/>
    <w:rsid w:val="354B77FD"/>
    <w:rsid w:val="354F34D3"/>
    <w:rsid w:val="356E1F2A"/>
    <w:rsid w:val="3576225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D034E8"/>
    <w:rsid w:val="37D17E7D"/>
    <w:rsid w:val="37DA1313"/>
    <w:rsid w:val="37DF1BA3"/>
    <w:rsid w:val="37E71D30"/>
    <w:rsid w:val="37E9152F"/>
    <w:rsid w:val="37F5325E"/>
    <w:rsid w:val="37FD1D01"/>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12B12"/>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94F3C"/>
    <w:rsid w:val="3D5E2933"/>
    <w:rsid w:val="3D5E7AA8"/>
    <w:rsid w:val="3D662F1C"/>
    <w:rsid w:val="3D6F2596"/>
    <w:rsid w:val="3D796230"/>
    <w:rsid w:val="3D7A5022"/>
    <w:rsid w:val="3D7C4968"/>
    <w:rsid w:val="3D924D6B"/>
    <w:rsid w:val="3D975710"/>
    <w:rsid w:val="3D9B313F"/>
    <w:rsid w:val="3D9B41D0"/>
    <w:rsid w:val="3D9C1792"/>
    <w:rsid w:val="3DB3129A"/>
    <w:rsid w:val="3DB6486B"/>
    <w:rsid w:val="3DBA6551"/>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614632"/>
    <w:rsid w:val="3F6A6AC4"/>
    <w:rsid w:val="3F6B6300"/>
    <w:rsid w:val="3F7716E8"/>
    <w:rsid w:val="3F7F143C"/>
    <w:rsid w:val="3F8561CC"/>
    <w:rsid w:val="3F927DA1"/>
    <w:rsid w:val="3F9315BF"/>
    <w:rsid w:val="3FA73B7E"/>
    <w:rsid w:val="3FAB4A68"/>
    <w:rsid w:val="3FB86017"/>
    <w:rsid w:val="3FBE37A3"/>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F3D3C"/>
    <w:rsid w:val="40807EAE"/>
    <w:rsid w:val="408D50F6"/>
    <w:rsid w:val="408F4E71"/>
    <w:rsid w:val="40940A3E"/>
    <w:rsid w:val="409411F0"/>
    <w:rsid w:val="40A176E7"/>
    <w:rsid w:val="40C018E0"/>
    <w:rsid w:val="40C765F3"/>
    <w:rsid w:val="40CB19CC"/>
    <w:rsid w:val="40D57A9D"/>
    <w:rsid w:val="40E215B3"/>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1E3344"/>
    <w:rsid w:val="441E7550"/>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3355B"/>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8FD70CE"/>
    <w:rsid w:val="491A7B75"/>
    <w:rsid w:val="493776D8"/>
    <w:rsid w:val="493801BB"/>
    <w:rsid w:val="493C6BB3"/>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C02E56"/>
    <w:rsid w:val="4BD85564"/>
    <w:rsid w:val="4BE2120B"/>
    <w:rsid w:val="4BEC690D"/>
    <w:rsid w:val="4BEE5A69"/>
    <w:rsid w:val="4C176A14"/>
    <w:rsid w:val="4C1C63D6"/>
    <w:rsid w:val="4C325FA4"/>
    <w:rsid w:val="4C4153A3"/>
    <w:rsid w:val="4C500D31"/>
    <w:rsid w:val="4C5A2771"/>
    <w:rsid w:val="4C5C3370"/>
    <w:rsid w:val="4C7F6F5D"/>
    <w:rsid w:val="4C864A35"/>
    <w:rsid w:val="4C8B7E80"/>
    <w:rsid w:val="4C8E4353"/>
    <w:rsid w:val="4C910676"/>
    <w:rsid w:val="4C985EF0"/>
    <w:rsid w:val="4C9E36A5"/>
    <w:rsid w:val="4CAB2556"/>
    <w:rsid w:val="4CBF4B6F"/>
    <w:rsid w:val="4CCE38DC"/>
    <w:rsid w:val="4CE04381"/>
    <w:rsid w:val="4CE91422"/>
    <w:rsid w:val="4CFD051B"/>
    <w:rsid w:val="4D175F8A"/>
    <w:rsid w:val="4D317D64"/>
    <w:rsid w:val="4D3229FD"/>
    <w:rsid w:val="4D39669C"/>
    <w:rsid w:val="4D396894"/>
    <w:rsid w:val="4D434EB5"/>
    <w:rsid w:val="4D4538EF"/>
    <w:rsid w:val="4D6D2260"/>
    <w:rsid w:val="4D713E66"/>
    <w:rsid w:val="4D7F78DB"/>
    <w:rsid w:val="4D8676F5"/>
    <w:rsid w:val="4D8D6039"/>
    <w:rsid w:val="4D924A76"/>
    <w:rsid w:val="4D955C59"/>
    <w:rsid w:val="4DB824B4"/>
    <w:rsid w:val="4DBB15FF"/>
    <w:rsid w:val="4DBB403F"/>
    <w:rsid w:val="4DC33AEA"/>
    <w:rsid w:val="4DD23F54"/>
    <w:rsid w:val="4DD47439"/>
    <w:rsid w:val="4DD926D1"/>
    <w:rsid w:val="4DDA7A28"/>
    <w:rsid w:val="4DE5097C"/>
    <w:rsid w:val="4DF036EE"/>
    <w:rsid w:val="4E015C76"/>
    <w:rsid w:val="4E0F6ADF"/>
    <w:rsid w:val="4E292C46"/>
    <w:rsid w:val="4E310026"/>
    <w:rsid w:val="4E4A2325"/>
    <w:rsid w:val="4E507692"/>
    <w:rsid w:val="4E591DB2"/>
    <w:rsid w:val="4E603881"/>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21776"/>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C1CEF"/>
    <w:rsid w:val="52632F70"/>
    <w:rsid w:val="528B5767"/>
    <w:rsid w:val="529435B7"/>
    <w:rsid w:val="529C69A9"/>
    <w:rsid w:val="52A05116"/>
    <w:rsid w:val="52A77D4F"/>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F501CE"/>
    <w:rsid w:val="54F64B1D"/>
    <w:rsid w:val="552C7D51"/>
    <w:rsid w:val="55352D36"/>
    <w:rsid w:val="55367BF4"/>
    <w:rsid w:val="55486565"/>
    <w:rsid w:val="555D33E0"/>
    <w:rsid w:val="555E3423"/>
    <w:rsid w:val="5560645C"/>
    <w:rsid w:val="556A172E"/>
    <w:rsid w:val="5577638E"/>
    <w:rsid w:val="55793155"/>
    <w:rsid w:val="5594082D"/>
    <w:rsid w:val="55A407A5"/>
    <w:rsid w:val="55B1164D"/>
    <w:rsid w:val="55B4735E"/>
    <w:rsid w:val="55BB221D"/>
    <w:rsid w:val="55CD1687"/>
    <w:rsid w:val="55EB16E2"/>
    <w:rsid w:val="5612283D"/>
    <w:rsid w:val="56371459"/>
    <w:rsid w:val="563C6522"/>
    <w:rsid w:val="563E23DC"/>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EF622F"/>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9015F"/>
    <w:rsid w:val="582F1895"/>
    <w:rsid w:val="58302CCE"/>
    <w:rsid w:val="58474CE2"/>
    <w:rsid w:val="584B6A8E"/>
    <w:rsid w:val="58532FAC"/>
    <w:rsid w:val="585A78D7"/>
    <w:rsid w:val="585C6786"/>
    <w:rsid w:val="58793674"/>
    <w:rsid w:val="58804FBD"/>
    <w:rsid w:val="589408A7"/>
    <w:rsid w:val="58C270CB"/>
    <w:rsid w:val="58C62D76"/>
    <w:rsid w:val="58CF29FE"/>
    <w:rsid w:val="58D0053D"/>
    <w:rsid w:val="58E53798"/>
    <w:rsid w:val="58EB0542"/>
    <w:rsid w:val="59021A1C"/>
    <w:rsid w:val="590525A9"/>
    <w:rsid w:val="59296D9D"/>
    <w:rsid w:val="594B3F35"/>
    <w:rsid w:val="595E268E"/>
    <w:rsid w:val="596E3BBB"/>
    <w:rsid w:val="597B223C"/>
    <w:rsid w:val="5984486C"/>
    <w:rsid w:val="598B13F5"/>
    <w:rsid w:val="598C40A0"/>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B82344"/>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F772C"/>
    <w:rsid w:val="642E5B37"/>
    <w:rsid w:val="64480456"/>
    <w:rsid w:val="644C3818"/>
    <w:rsid w:val="64706BBE"/>
    <w:rsid w:val="64713F3D"/>
    <w:rsid w:val="64933AA4"/>
    <w:rsid w:val="6499665B"/>
    <w:rsid w:val="64C144B8"/>
    <w:rsid w:val="64C466DC"/>
    <w:rsid w:val="64DB766F"/>
    <w:rsid w:val="64DD6515"/>
    <w:rsid w:val="64E65D23"/>
    <w:rsid w:val="64EE692F"/>
    <w:rsid w:val="64F20786"/>
    <w:rsid w:val="64F2095B"/>
    <w:rsid w:val="64FA06D8"/>
    <w:rsid w:val="64FA1D2F"/>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355606"/>
    <w:rsid w:val="664B5C0B"/>
    <w:rsid w:val="665244EE"/>
    <w:rsid w:val="66547455"/>
    <w:rsid w:val="666B43E4"/>
    <w:rsid w:val="6678346C"/>
    <w:rsid w:val="66A32FBE"/>
    <w:rsid w:val="66B11862"/>
    <w:rsid w:val="66BF0A49"/>
    <w:rsid w:val="66C979C9"/>
    <w:rsid w:val="66CF222B"/>
    <w:rsid w:val="66E568FC"/>
    <w:rsid w:val="66E7282E"/>
    <w:rsid w:val="66F42EBF"/>
    <w:rsid w:val="66FB11F6"/>
    <w:rsid w:val="67022E0D"/>
    <w:rsid w:val="670C4B07"/>
    <w:rsid w:val="670C54C0"/>
    <w:rsid w:val="6710610D"/>
    <w:rsid w:val="67342D1E"/>
    <w:rsid w:val="67445712"/>
    <w:rsid w:val="675D681D"/>
    <w:rsid w:val="67617AFA"/>
    <w:rsid w:val="67735DE9"/>
    <w:rsid w:val="6797706E"/>
    <w:rsid w:val="679A2557"/>
    <w:rsid w:val="67A068CF"/>
    <w:rsid w:val="67A834CD"/>
    <w:rsid w:val="67A858DB"/>
    <w:rsid w:val="67AC4269"/>
    <w:rsid w:val="67AE0C55"/>
    <w:rsid w:val="67B32DD2"/>
    <w:rsid w:val="67BE757E"/>
    <w:rsid w:val="67C122F0"/>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781E06"/>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77259"/>
    <w:rsid w:val="6BBC20E4"/>
    <w:rsid w:val="6BC46894"/>
    <w:rsid w:val="6BCF71ED"/>
    <w:rsid w:val="6BDF33F9"/>
    <w:rsid w:val="6BFE454F"/>
    <w:rsid w:val="6C055095"/>
    <w:rsid w:val="6C363058"/>
    <w:rsid w:val="6C460D0E"/>
    <w:rsid w:val="6C4A6633"/>
    <w:rsid w:val="6C522891"/>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63F24"/>
    <w:rsid w:val="71ED389A"/>
    <w:rsid w:val="71F9130C"/>
    <w:rsid w:val="721A4F0B"/>
    <w:rsid w:val="721B36E4"/>
    <w:rsid w:val="721D3791"/>
    <w:rsid w:val="722668D2"/>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57A0F"/>
    <w:rsid w:val="733D0D32"/>
    <w:rsid w:val="733D2693"/>
    <w:rsid w:val="73417693"/>
    <w:rsid w:val="73461D91"/>
    <w:rsid w:val="734F0CE7"/>
    <w:rsid w:val="73565D79"/>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40F06"/>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755EE0"/>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9874D5"/>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C22B3"/>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4"/>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1"/>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paragraph" w:styleId="6">
    <w:name w:val="heading 5"/>
    <w:basedOn w:val="5"/>
    <w:next w:val="1"/>
    <w:qFormat/>
    <w:uiPriority w:val="0"/>
    <w:pPr>
      <w:ind w:left="1701" w:hanging="1701"/>
      <w:outlineLvl w:val="4"/>
    </w:pPr>
    <w:rPr>
      <w:sz w:val="22"/>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unhideWhenUsed/>
    <w:qFormat/>
    <w:uiPriority w:val="35"/>
    <w:rPr>
      <w:rFonts w:ascii="Cambria" w:hAnsi="Cambria" w:eastAsia="黑体"/>
      <w:szCs w:val="20"/>
    </w:rPr>
  </w:style>
  <w:style w:type="paragraph" w:styleId="8">
    <w:name w:val="Document Map"/>
    <w:basedOn w:val="1"/>
    <w:link w:val="31"/>
    <w:semiHidden/>
    <w:unhideWhenUsed/>
    <w:qFormat/>
    <w:uiPriority w:val="99"/>
    <w:rPr>
      <w:rFonts w:ascii="宋体" w:eastAsia="宋体"/>
      <w:sz w:val="18"/>
      <w:szCs w:val="18"/>
    </w:rPr>
  </w:style>
  <w:style w:type="paragraph" w:styleId="9">
    <w:name w:val="annotation text"/>
    <w:basedOn w:val="1"/>
    <w:semiHidden/>
    <w:unhideWhenUsed/>
    <w:qFormat/>
    <w:uiPriority w:val="0"/>
    <w:pPr>
      <w:jc w:val="left"/>
    </w:pPr>
  </w:style>
  <w:style w:type="paragraph" w:styleId="10">
    <w:name w:val="Body Text"/>
    <w:basedOn w:val="1"/>
    <w:link w:val="25"/>
    <w:qFormat/>
    <w:uiPriority w:val="0"/>
    <w:pPr>
      <w:spacing w:after="120"/>
      <w:jc w:val="both"/>
    </w:pPr>
    <w:rPr>
      <w:rFonts w:eastAsia="MS Mincho"/>
      <w:lang w:val="zh-CN"/>
    </w:rPr>
  </w:style>
  <w:style w:type="paragraph" w:styleId="11">
    <w:name w:val="List 2"/>
    <w:basedOn w:val="12"/>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2">
    <w:name w:val="List"/>
    <w:basedOn w:val="1"/>
    <w:semiHidden/>
    <w:unhideWhenUsed/>
    <w:qFormat/>
    <w:uiPriority w:val="99"/>
    <w:pPr>
      <w:ind w:left="200" w:hanging="200" w:hangingChars="200"/>
      <w:contextualSpacing/>
    </w:pPr>
  </w:style>
  <w:style w:type="paragraph" w:styleId="13">
    <w:name w:val="Date"/>
    <w:basedOn w:val="1"/>
    <w:next w:val="1"/>
    <w:link w:val="48"/>
    <w:semiHidden/>
    <w:unhideWhenUsed/>
    <w:qFormat/>
    <w:uiPriority w:val="99"/>
    <w:pPr>
      <w:ind w:left="100" w:leftChars="2500"/>
    </w:pPr>
  </w:style>
  <w:style w:type="paragraph" w:styleId="14">
    <w:name w:val="Balloon Text"/>
    <w:basedOn w:val="1"/>
    <w:link w:val="29"/>
    <w:semiHidden/>
    <w:unhideWhenUsed/>
    <w:qFormat/>
    <w:uiPriority w:val="99"/>
    <w:rPr>
      <w:sz w:val="18"/>
      <w:szCs w:val="18"/>
      <w:lang w:val="zh-CN"/>
    </w:rPr>
  </w:style>
  <w:style w:type="paragraph" w:styleId="15">
    <w:name w:val="footer"/>
    <w:basedOn w:val="1"/>
    <w:link w:val="28"/>
    <w:unhideWhenUsed/>
    <w:qFormat/>
    <w:uiPriority w:val="99"/>
    <w:pPr>
      <w:tabs>
        <w:tab w:val="center" w:pos="4153"/>
        <w:tab w:val="right" w:pos="8306"/>
      </w:tabs>
      <w:snapToGrid w:val="0"/>
    </w:pPr>
    <w:rPr>
      <w:sz w:val="18"/>
      <w:szCs w:val="18"/>
      <w:lang w:val="zh-CN"/>
    </w:rPr>
  </w:style>
  <w:style w:type="paragraph" w:styleId="16">
    <w:name w:val="header"/>
    <w:basedOn w:val="1"/>
    <w:link w:val="26"/>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semiHidden/>
    <w:qFormat/>
    <w:uiPriority w:val="0"/>
  </w:style>
  <w:style w:type="character" w:styleId="22">
    <w:name w:val="Hyperlink"/>
    <w:qFormat/>
    <w:uiPriority w:val="99"/>
    <w:rPr>
      <w:color w:val="0000FF"/>
      <w:u w:val="single"/>
    </w:rPr>
  </w:style>
  <w:style w:type="character" w:customStyle="1" w:styleId="23">
    <w:name w:val="Heading 1 Char"/>
    <w:link w:val="2"/>
    <w:qFormat/>
    <w:uiPriority w:val="0"/>
    <w:rPr>
      <w:rFonts w:ascii="Helvetica" w:hAnsi="Helvetica" w:eastAsia="MS Mincho" w:cs="Times New Roman"/>
      <w:b/>
      <w:bCs/>
      <w:kern w:val="32"/>
      <w:sz w:val="28"/>
      <w:szCs w:val="32"/>
      <w:lang w:val="zh-CN" w:eastAsia="en-US"/>
    </w:rPr>
  </w:style>
  <w:style w:type="character" w:customStyle="1" w:styleId="24">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5">
    <w:name w:val="Body Text Char"/>
    <w:link w:val="10"/>
    <w:qFormat/>
    <w:uiPriority w:val="0"/>
    <w:rPr>
      <w:rFonts w:ascii="Times New Roman" w:hAnsi="Times New Roman" w:eastAsia="MS Mincho" w:cs="Times New Roman"/>
      <w:kern w:val="0"/>
      <w:sz w:val="20"/>
      <w:szCs w:val="24"/>
      <w:lang w:val="zh-CN" w:eastAsia="en-US"/>
    </w:rPr>
  </w:style>
  <w:style w:type="character" w:customStyle="1" w:styleId="26">
    <w:name w:val="Header Char"/>
    <w:link w:val="16"/>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Footer Char"/>
    <w:link w:val="15"/>
    <w:qFormat/>
    <w:uiPriority w:val="99"/>
    <w:rPr>
      <w:rFonts w:ascii="Times New Roman" w:hAnsi="Times New Roman" w:eastAsia="Times New Roman" w:cs="Times New Roman"/>
      <w:kern w:val="0"/>
      <w:sz w:val="18"/>
      <w:szCs w:val="18"/>
      <w:lang w:eastAsia="en-US"/>
    </w:rPr>
  </w:style>
  <w:style w:type="character" w:customStyle="1" w:styleId="29">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30">
    <w:name w:val="List Paragraph"/>
    <w:basedOn w:val="1"/>
    <w:link w:val="46"/>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1">
    <w:name w:val="Document Map Char"/>
    <w:link w:val="8"/>
    <w:semiHidden/>
    <w:qFormat/>
    <w:uiPriority w:val="99"/>
    <w:rPr>
      <w:rFonts w:ascii="宋体" w:hAnsi="Times New Roman"/>
      <w:sz w:val="18"/>
      <w:szCs w:val="18"/>
      <w:lang w:eastAsia="en-US"/>
    </w:rPr>
  </w:style>
  <w:style w:type="paragraph" w:customStyle="1" w:styleId="32">
    <w:name w:val="B1"/>
    <w:basedOn w:val="12"/>
    <w:link w:val="33"/>
    <w:qFormat/>
    <w:uiPriority w:val="0"/>
    <w:pPr>
      <w:spacing w:after="180"/>
      <w:ind w:left="568" w:hanging="284" w:firstLineChars="0"/>
      <w:contextualSpacing w:val="0"/>
    </w:pPr>
    <w:rPr>
      <w:rFonts w:eastAsia="宋体"/>
      <w:szCs w:val="20"/>
      <w:lang w:val="en-GB"/>
    </w:rPr>
  </w:style>
  <w:style w:type="character" w:customStyle="1" w:styleId="33">
    <w:name w:val="B1 (文字)"/>
    <w:link w:val="32"/>
    <w:qFormat/>
    <w:locked/>
    <w:uiPriority w:val="0"/>
    <w:rPr>
      <w:rFonts w:ascii="Times New Roman" w:hAnsi="Times New Roman"/>
      <w:lang w:val="en-GB" w:eastAsia="en-US"/>
    </w:rPr>
  </w:style>
  <w:style w:type="character" w:customStyle="1" w:styleId="34">
    <w:name w:val="B1 Char1"/>
    <w:qFormat/>
    <w:uiPriority w:val="0"/>
    <w:rPr>
      <w:lang w:val="en-GB" w:eastAsia="en-US"/>
    </w:rPr>
  </w:style>
  <w:style w:type="paragraph" w:customStyle="1" w:styleId="35">
    <w:name w:val="TAH"/>
    <w:basedOn w:val="36"/>
    <w:link w:val="41"/>
    <w:qFormat/>
    <w:uiPriority w:val="0"/>
    <w:rPr>
      <w:b/>
    </w:rPr>
  </w:style>
  <w:style w:type="paragraph" w:customStyle="1" w:styleId="36">
    <w:name w:val="TAC"/>
    <w:basedOn w:val="37"/>
    <w:link w:val="40"/>
    <w:qFormat/>
    <w:uiPriority w:val="0"/>
    <w:pPr>
      <w:keepNext/>
      <w:keepLines/>
      <w:jc w:val="center"/>
    </w:pPr>
    <w:rPr>
      <w:rFonts w:ascii="Arial" w:hAnsi="Arial" w:eastAsia="宋体"/>
      <w:sz w:val="18"/>
      <w:szCs w:val="20"/>
      <w:lang w:val="en-GB" w:eastAsia="zh-CN"/>
    </w:rPr>
  </w:style>
  <w:style w:type="paragraph" w:customStyle="1" w:styleId="37">
    <w:name w:val="TAL"/>
    <w:basedOn w:val="1"/>
    <w:link w:val="50"/>
    <w:qFormat/>
    <w:uiPriority w:val="0"/>
    <w:pPr>
      <w:keepNext/>
      <w:keepLines/>
    </w:pPr>
    <w:rPr>
      <w:rFonts w:ascii="Arial" w:hAnsi="Arial" w:eastAsia="宋体"/>
      <w:sz w:val="18"/>
      <w:szCs w:val="20"/>
      <w:lang w:val="en-GB"/>
    </w:rPr>
  </w:style>
  <w:style w:type="paragraph" w:customStyle="1" w:styleId="38">
    <w:name w:val="TH"/>
    <w:basedOn w:val="1"/>
    <w:link w:val="39"/>
    <w:qFormat/>
    <w:uiPriority w:val="0"/>
    <w:pPr>
      <w:keepNext/>
      <w:keepLines/>
      <w:spacing w:before="60" w:after="180"/>
      <w:jc w:val="center"/>
    </w:pPr>
    <w:rPr>
      <w:rFonts w:ascii="Arial" w:hAnsi="Arial" w:eastAsia="宋体"/>
      <w:b/>
      <w:szCs w:val="20"/>
      <w:lang w:val="en-GB" w:eastAsia="zh-CN"/>
    </w:rPr>
  </w:style>
  <w:style w:type="character" w:customStyle="1" w:styleId="39">
    <w:name w:val="TH Char"/>
    <w:link w:val="38"/>
    <w:qFormat/>
    <w:uiPriority w:val="0"/>
    <w:rPr>
      <w:rFonts w:ascii="Arial" w:hAnsi="Arial" w:eastAsia="宋体"/>
      <w:b/>
      <w:lang w:val="en-GB" w:eastAsia="zh-CN"/>
    </w:rPr>
  </w:style>
  <w:style w:type="character" w:customStyle="1" w:styleId="40">
    <w:name w:val="TAC Char"/>
    <w:link w:val="36"/>
    <w:qFormat/>
    <w:uiPriority w:val="0"/>
    <w:rPr>
      <w:rFonts w:ascii="Arial" w:hAnsi="Arial" w:eastAsia="宋体"/>
      <w:sz w:val="18"/>
      <w:lang w:val="en-GB" w:eastAsia="zh-CN"/>
    </w:rPr>
  </w:style>
  <w:style w:type="character" w:customStyle="1" w:styleId="41">
    <w:name w:val="TAH Car"/>
    <w:link w:val="35"/>
    <w:qFormat/>
    <w:uiPriority w:val="0"/>
    <w:rPr>
      <w:rFonts w:ascii="Arial" w:hAnsi="Arial" w:eastAsia="宋体"/>
      <w:b/>
      <w:sz w:val="18"/>
      <w:lang w:val="en-GB" w:eastAsia="zh-C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3">
    <w:name w:val="TAR"/>
    <w:basedOn w:val="1"/>
    <w:qFormat/>
    <w:uiPriority w:val="0"/>
    <w:pPr>
      <w:keepNext/>
      <w:keepLines/>
      <w:jc w:val="right"/>
    </w:pPr>
    <w:rPr>
      <w:rFonts w:ascii="Arial" w:hAnsi="Arial" w:eastAsia="宋体"/>
      <w:sz w:val="18"/>
      <w:szCs w:val="20"/>
      <w:lang w:val="en-GB"/>
    </w:rPr>
  </w:style>
  <w:style w:type="paragraph" w:customStyle="1" w:styleId="44">
    <w:name w:val="RAN4 proposal"/>
    <w:basedOn w:val="7"/>
    <w:next w:val="1"/>
    <w:link w:val="45"/>
    <w:qFormat/>
    <w:uiPriority w:val="0"/>
    <w:pPr>
      <w:numPr>
        <w:ilvl w:val="0"/>
        <w:numId w:val="2"/>
      </w:numPr>
      <w:spacing w:after="200"/>
      <w:ind w:left="0" w:firstLine="0"/>
    </w:pPr>
    <w:rPr>
      <w:rFonts w:ascii="Times New Roman" w:hAnsi="Times New Roman" w:eastAsia="宋体"/>
      <w:b/>
      <w:iCs/>
      <w:szCs w:val="18"/>
    </w:rPr>
  </w:style>
  <w:style w:type="character" w:customStyle="1" w:styleId="45">
    <w:name w:val="RAN4 proposal Char"/>
    <w:link w:val="44"/>
    <w:qFormat/>
    <w:uiPriority w:val="0"/>
    <w:rPr>
      <w:rFonts w:ascii="Times New Roman" w:hAnsi="Times New Roman"/>
      <w:b/>
      <w:iCs/>
      <w:szCs w:val="18"/>
      <w:lang w:eastAsia="en-US"/>
    </w:rPr>
  </w:style>
  <w:style w:type="character" w:customStyle="1" w:styleId="46">
    <w:name w:val="List Paragraph Char"/>
    <w:link w:val="30"/>
    <w:qFormat/>
    <w:uiPriority w:val="34"/>
    <w:rPr>
      <w:kern w:val="2"/>
      <w:sz w:val="21"/>
      <w:szCs w:val="22"/>
    </w:rPr>
  </w:style>
  <w:style w:type="character" w:customStyle="1" w:styleId="47">
    <w:name w:val="ZGSM"/>
    <w:qFormat/>
    <w:uiPriority w:val="0"/>
  </w:style>
  <w:style w:type="character" w:customStyle="1" w:styleId="48">
    <w:name w:val="Date Char"/>
    <w:link w:val="13"/>
    <w:semiHidden/>
    <w:qFormat/>
    <w:uiPriority w:val="99"/>
    <w:rPr>
      <w:rFonts w:ascii="Times New Roman" w:hAnsi="Times New Roman" w:eastAsia="Times New Roman"/>
      <w:szCs w:val="24"/>
      <w:lang w:eastAsia="en-US"/>
    </w:rPr>
  </w:style>
  <w:style w:type="paragraph" w:customStyle="1" w:styleId="49">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0">
    <w:name w:val="TAL Char"/>
    <w:link w:val="37"/>
    <w:qFormat/>
    <w:uiPriority w:val="0"/>
    <w:rPr>
      <w:rFonts w:ascii="Arial" w:hAnsi="Arial"/>
      <w:sz w:val="18"/>
      <w:lang w:val="en-GB" w:eastAsia="en-US"/>
    </w:rPr>
  </w:style>
  <w:style w:type="character" w:customStyle="1" w:styleId="51">
    <w:name w:val="Heading 3 Char"/>
    <w:link w:val="4"/>
    <w:qFormat/>
    <w:uiPriority w:val="9"/>
    <w:rPr>
      <w:rFonts w:ascii="Times New Roman" w:hAnsi="Times New Roman" w:eastAsia="Times New Roman"/>
      <w:b/>
      <w:bCs/>
      <w:sz w:val="32"/>
      <w:szCs w:val="32"/>
      <w:lang w:eastAsia="en-US"/>
    </w:rPr>
  </w:style>
  <w:style w:type="character" w:customStyle="1" w:styleId="52">
    <w:name w:val="TAL Car"/>
    <w:qFormat/>
    <w:uiPriority w:val="0"/>
    <w:rPr>
      <w:rFonts w:ascii="Arial" w:hAnsi="Arial" w:eastAsia="Times New Roman" w:cs="Times New Roman"/>
      <w:kern w:val="0"/>
      <w:sz w:val="18"/>
      <w:szCs w:val="20"/>
      <w:lang w:val="en-GB" w:eastAsia="ko-KR"/>
    </w:rPr>
  </w:style>
  <w:style w:type="paragraph" w:customStyle="1" w:styleId="53">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4">
    <w:name w:val="TAN"/>
    <w:basedOn w:val="37"/>
    <w:qFormat/>
    <w:uiPriority w:val="0"/>
    <w:pPr>
      <w:ind w:left="851" w:hanging="851"/>
    </w:pPr>
  </w:style>
  <w:style w:type="character" w:customStyle="1" w:styleId="55">
    <w:name w:val="normaltextrun"/>
    <w:basedOn w:val="20"/>
    <w:qFormat/>
    <w:uiPriority w:val="0"/>
  </w:style>
  <w:style w:type="character" w:customStyle="1" w:styleId="56">
    <w:name w:val="eop"/>
    <w:basedOn w:val="20"/>
    <w:qFormat/>
    <w:uiPriority w:val="0"/>
  </w:style>
  <w:style w:type="paragraph" w:customStyle="1" w:styleId="57">
    <w:name w:val="paragraph"/>
    <w:basedOn w:val="1"/>
    <w:qFormat/>
    <w:uiPriority w:val="0"/>
    <w:pPr>
      <w:spacing w:before="100" w:beforeAutospacing="1" w:after="100" w:afterAutospacing="1"/>
    </w:pPr>
    <w:rPr>
      <w:rFonts w:eastAsia="Times New Roman"/>
      <w:sz w:val="24"/>
      <w:szCs w:val="24"/>
    </w:rPr>
  </w:style>
  <w:style w:type="paragraph" w:customStyle="1" w:styleId="58">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9">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0">
    <w:name w:val="스타일 스타일 스타일 스타일 양쪽 첫 줄:  2 글자 + 첫 줄:  2 글자 + 첫 줄:  2 글자 + 첫 줄:  2..."/>
    <w:basedOn w:val="61"/>
    <w:qFormat/>
    <w:uiPriority w:val="0"/>
    <w:pPr>
      <w:spacing w:line="336" w:lineRule="auto"/>
    </w:pPr>
  </w:style>
  <w:style w:type="paragraph" w:customStyle="1" w:styleId="61">
    <w:name w:val="스타일 스타일 스타일 양쪽 첫 줄:  2 글자 + 첫 줄:  2 글자 + 첫 줄:  2 글자"/>
    <w:basedOn w:val="62"/>
    <w:qFormat/>
    <w:uiPriority w:val="0"/>
    <w:pPr>
      <w:spacing w:line="312" w:lineRule="auto"/>
    </w:pPr>
  </w:style>
  <w:style w:type="paragraph" w:customStyle="1" w:styleId="62">
    <w:name w:val="스타일 스타일 양쪽 첫 줄:  2 글자 + 첫 줄:  2 글자"/>
    <w:basedOn w:val="63"/>
    <w:qFormat/>
    <w:uiPriority w:val="0"/>
    <w:pPr>
      <w:spacing w:line="300" w:lineRule="auto"/>
    </w:pPr>
  </w:style>
  <w:style w:type="paragraph" w:customStyle="1" w:styleId="63">
    <w:name w:val="스타일 양쪽 첫 줄:  2 글자"/>
    <w:basedOn w:val="1"/>
    <w:qFormat/>
    <w:uiPriority w:val="0"/>
    <w:pPr>
      <w:spacing w:line="288" w:lineRule="auto"/>
      <w:ind w:firstLine="200" w:firstLineChars="200"/>
      <w:jc w:val="both"/>
    </w:pPr>
    <w:rPr>
      <w:rFonts w:cs="Batang"/>
    </w:rPr>
  </w:style>
  <w:style w:type="paragraph" w:customStyle="1" w:styleId="64">
    <w:name w:val="0 Main text"/>
    <w:basedOn w:val="65"/>
    <w:qFormat/>
    <w:uiPriority w:val="0"/>
    <w:pPr>
      <w:spacing w:before="0" w:after="100" w:afterAutospacing="1"/>
      <w:ind w:firstLine="360" w:firstLineChars="0"/>
    </w:pPr>
    <w:rPr>
      <w:sz w:val="20"/>
      <w:lang w:eastAsia="en-US"/>
    </w:rPr>
  </w:style>
  <w:style w:type="paragraph" w:customStyle="1" w:styleId="65">
    <w:name w:val="main text"/>
    <w:basedOn w:val="1"/>
    <w:qFormat/>
    <w:uiPriority w:val="0"/>
    <w:pPr>
      <w:spacing w:before="60" w:after="60" w:line="288" w:lineRule="auto"/>
      <w:ind w:firstLine="200" w:firstLineChars="200"/>
      <w:jc w:val="both"/>
    </w:pPr>
    <w:rPr>
      <w:rFonts w:cs="Batang"/>
      <w:lang w:eastAsia="ko-KR"/>
    </w:rPr>
  </w:style>
  <w:style w:type="paragraph" w:customStyle="1" w:styleId="66">
    <w:name w:val="B2"/>
    <w:basedOn w:val="1"/>
    <w:qFormat/>
    <w:uiPriority w:val="0"/>
    <w:pPr>
      <w:ind w:left="851" w:hanging="284"/>
    </w:pPr>
    <w:rPr>
      <w:lang w:val="zh-CN"/>
    </w:rPr>
  </w:style>
  <w:style w:type="paragraph" w:customStyle="1" w:styleId="67">
    <w:name w:val="B3"/>
    <w:basedOn w:val="1"/>
    <w:qFormat/>
    <w:uiPriority w:val="0"/>
    <w:pPr>
      <w:ind w:left="1135" w:hanging="284"/>
    </w:pPr>
  </w:style>
  <w:style w:type="paragraph" w:customStyle="1" w:styleId="68">
    <w:name w:val="B4"/>
    <w:basedOn w:val="1"/>
    <w:qFormat/>
    <w:uiPriority w:val="0"/>
    <w:pPr>
      <w:ind w:left="1418" w:hanging="284"/>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26</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2025-03-28T13:30:47Z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